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（音译：朱兵）团队论文被撤稿，背后有自然科学基金支持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79153"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66177"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2342"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64624"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（音译：朱兵），疑为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