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中国医学科学院肿瘤医院副院长团队于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子刊发表论文，图像被质疑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15:08:41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2022年10月，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中国医学科学院肿瘤医院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北京大学肿瘤医院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Signal Transduction and Targeted Therapy（IF40.8/1区）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发表2年多后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“Dysregulated ceramides metabolism by fatty acid 2-hydroxylase exposes a metabolic vulnerability to target cancer metastasis”。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第一作者：中国医学科学院肿瘤医院的Xuantong Zhou ，中国医学科学院肿瘤医院的Furong Huang, 天津医科大学肿瘤医院的Gang 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通讯作者：北京大学肿瘤医院的Nan Wu ，中国医学科学院肿瘤医院的 Zhihua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国家重点研发计划项目（2021YFC2501000, 2020YFA0803300）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国家自然科学基金项目（82030089,82188102）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中国科学院医学科学创新基金项目（2021-1-I2M-018, 2021-I2M-1-067）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中国博士后科学基金项目（2021M700007）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深圳市医学三明项目（No.SZSM201812062）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广东省基础与应用基础研究基金项目（2019B030302012）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资助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866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422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15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392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090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93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704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466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9"/>
          <w:sz w:val="21"/>
          <w:szCs w:val="21"/>
          <w:u w:val="none"/>
        </w:rPr>
        <w:drawing>
          <wp:inline>
            <wp:extent cx="4164933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789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493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https://pubpeer.com/publications/84C82AD45DAC7F72CE7CC9E8DAE0D9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872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256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997&amp;idx=1&amp;sn=3b7780516f554b7b974712795f02267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