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科研诚信再遭质疑！中南大学湘雅医院论文图像大量重复引关注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20:26:24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885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581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2014年7月，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中南大学湘雅医院麻醉科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International Journal of Molecular Medicine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Non-invasive remote limb ischemic postconditioning protects rats against focal cerebral ischemia by upregulating STAT3 and reducing apoptosis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无创远端肢体缺血后处理通过上调 STAT3 和减少细胞凋亡保护大鼠免受局灶性脑缺血的影响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doi: 10.3892/ijmm.2014.1873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中南大学湘雅医院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ZHIGANG CHENG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中南大学湘雅医院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YUNJIAO WANG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音译：王云姣）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99643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256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René Aquarius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亲爱的作者，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我们在您的一幅图中发现了意外的重叠（见下图）。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66399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236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003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798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https://pubpeer.com/publications/8EB38DD659B70B5351AFACED68CB33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学术不端案件通报（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2025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年第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1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批）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2611&amp;idx=1&amp;sn=4492f51fdef9437d55cccb06711634d1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641&amp;idx=1&amp;sn=bf0f98e958fce9d0d943f57daf77f8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