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材料光电大佬署名！西安交通大学材料科学与工程学院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子刊研究图像问题曝光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国际顶级期刊《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Nature Energy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"Self-assembled bilayer for perovskite solar cells with improved tolerance against thermal stresses"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自组装双层结构提升钙钛矿太阳能电池热应力稳定性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DOI:10.1038/s41560-024-01689-2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Bitao Dong , Mingyang Wei , Yuheng Li , Yingguo Yang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Yueshuai Zhang , Yanbiao Ran , Meijie Cui , Ziru Su , Qunping Fan , Zhaozhao Bi , Tomas Edvinsson , Zhiqin Ding , Huanxin Ju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Shuai You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 Shaik Mohammed Zakeeruddin , Xiong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Anders Hagfeldt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Michael Gr?tzel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被誉为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染料敏化太阳电池之父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（通讯作者）合作完成，通讯作者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西安交通大学材料科学与工程学院金属材料强度国家重点实验室，通讯作者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Michael Gr?tzel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洛桑联邦理工学院光子学和界面实验室，通讯作者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Shuai You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华中科技大学武汉光电国家实验室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Michael Gr?tzel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介观太阳能电池中心。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87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Reithrodontomys spectabilis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声称峰值位于</w:t>
      </w:r>
      <w:r>
        <w:rPr>
          <w:rStyle w:val="any"/>
          <w:rFonts w:ascii="Times New Roman" w:eastAsia="Times New Roman" w:hAnsi="Times New Roman" w:cs="Times New Roman"/>
          <w:spacing w:val="8"/>
        </w:rPr>
        <w:t>45°</w:t>
      </w:r>
      <w:r>
        <w:rPr>
          <w:rStyle w:val="any"/>
          <w:rFonts w:ascii="PMingLiU" w:eastAsia="PMingLiU" w:hAnsi="PMingLiU" w:cs="PMingLiU"/>
          <w:spacing w:val="8"/>
        </w:rPr>
        <w:t>的说法是不正确的。这是一个典型的</w:t>
      </w:r>
      <w:r>
        <w:rPr>
          <w:rStyle w:val="any"/>
          <w:rFonts w:ascii="Times New Roman" w:eastAsia="Times New Roman" w:hAnsi="Times New Roman" w:cs="Times New Roman"/>
          <w:spacing w:val="8"/>
        </w:rPr>
        <w:t>GIWAXS</w:t>
      </w:r>
      <w:r>
        <w:rPr>
          <w:rStyle w:val="any"/>
          <w:rFonts w:ascii="PMingLiU" w:eastAsia="PMingLiU" w:hAnsi="PMingLiU" w:cs="PMingLiU"/>
          <w:spacing w:val="8"/>
        </w:rPr>
        <w:t>图谱，显示了钙钛矿材料的取向性。观察到的峰值表明</w:t>
      </w:r>
      <w:r>
        <w:rPr>
          <w:rStyle w:val="any"/>
          <w:rFonts w:ascii="Times New Roman" w:eastAsia="Times New Roman" w:hAnsi="Times New Roman" w:cs="Times New Roman"/>
          <w:spacing w:val="8"/>
        </w:rPr>
        <w:t>(211)</w:t>
      </w:r>
      <w:r>
        <w:rPr>
          <w:rStyle w:val="any"/>
          <w:rFonts w:ascii="PMingLiU" w:eastAsia="PMingLiU" w:hAnsi="PMingLiU" w:cs="PMingLiU"/>
          <w:spacing w:val="8"/>
        </w:rPr>
        <w:t>面沿</w:t>
      </w:r>
      <w:r>
        <w:rPr>
          <w:rStyle w:val="any"/>
          <w:rFonts w:ascii="Times New Roman" w:eastAsia="Times New Roman" w:hAnsi="Times New Roman" w:cs="Times New Roman"/>
          <w:spacing w:val="8"/>
        </w:rPr>
        <w:t>qz</w:t>
      </w:r>
      <w:r>
        <w:rPr>
          <w:rStyle w:val="any"/>
          <w:rFonts w:ascii="PMingLiU" w:eastAsia="PMingLiU" w:hAnsi="PMingLiU" w:cs="PMingLiU"/>
          <w:spacing w:val="8"/>
        </w:rPr>
        <w:t>（面外方向）对齐。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中原始图谱与模拟的</w:t>
      </w:r>
      <w:r>
        <w:rPr>
          <w:rStyle w:val="any"/>
          <w:rFonts w:ascii="Times New Roman" w:eastAsia="Times New Roman" w:hAnsi="Times New Roman" w:cs="Times New Roman"/>
          <w:spacing w:val="8"/>
        </w:rPr>
        <w:t>211</w:t>
      </w:r>
      <w:r>
        <w:rPr>
          <w:rStyle w:val="any"/>
          <w:rFonts w:ascii="PMingLiU" w:eastAsia="PMingLiU" w:hAnsi="PMingLiU" w:cs="PMingLiU"/>
          <w:spacing w:val="8"/>
        </w:rPr>
        <w:t>取向图谱的对比。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33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43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还有一张重叠的图片。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64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86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https://pubpeer.com/publications/96272F3AEE9205B960AA88CD66EAB5#0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33525" cy="15402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75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西安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70681889791678873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1&amp;sn=dd51b1340379e33801ddb2f86f3750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