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发表</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天被质疑，中山大学肿瘤防治中心病理科主任论文被关注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Scientific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Apr 10;15(1):12278.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10.1038/s41598-025-97616-w</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本文图</w:t>
      </w:r>
      <w:r>
        <w:rPr>
          <w:rStyle w:val="any"/>
          <w:rFonts w:ascii="Times New Roman" w:eastAsia="Times New Roman" w:hAnsi="Times New Roman" w:cs="Times New Roman"/>
          <w:spacing w:val="8"/>
          <w:lang w:val="en-US" w:eastAsia="en-US"/>
        </w:rPr>
        <w:t>6F</w:t>
      </w:r>
      <w:r>
        <w:rPr>
          <w:rStyle w:val="any"/>
          <w:rFonts w:ascii="PMingLiU" w:eastAsia="PMingLiU" w:hAnsi="PMingLiU" w:cs="PMingLiU"/>
          <w:spacing w:val="8"/>
        </w:rPr>
        <w:t>中展示的部分数据之前已在另一篇文章中发表。最初发布数据的数据</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https://www.frontiersin.org/journals/medicine/articles/10.3389/fmed.2023.1168977/full</w:t>
      </w:r>
      <w:r>
        <w:rPr>
          <w:rStyle w:val="any"/>
          <w:rFonts w:ascii="Times New Roman" w:eastAsia="Times New Roman" w:hAnsi="Times New Roman" w:cs="Times New Roman"/>
          <w:spacing w:val="8"/>
          <w:lang w:val="en-US" w:eastAsia="en-US"/>
        </w:rPr>
        <w:t>) is not cited in Wu et al.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793432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45656" name=""/>
                    <pic:cNvPicPr>
                      <a:picLocks noChangeAspect="1"/>
                    </pic:cNvPicPr>
                  </pic:nvPicPr>
                  <pic:blipFill>
                    <a:blip xmlns:r="http://schemas.openxmlformats.org/officeDocument/2006/relationships" r:embed="rId6"/>
                    <a:stretch>
                      <a:fillRect/>
                    </a:stretch>
                  </pic:blipFill>
                  <pic:spPr>
                    <a:xfrm>
                      <a:off x="0" y="0"/>
                      <a:ext cx="5276850" cy="7934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作者能否澄清为什么没有这样做？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https://pubmed.ncbi.nlm.nih.gov/40210693/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95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461" name=""/>
                    <pic:cNvPicPr>
                      <a:picLocks noChangeAspect="1"/>
                    </pic:cNvPicPr>
                  </pic:nvPicPr>
                  <pic:blipFill>
                    <a:blip xmlns:r="http://schemas.openxmlformats.org/officeDocument/2006/relationships" r:embed="rId7"/>
                    <a:stretch>
                      <a:fillRect/>
                    </a:stretch>
                  </pic:blipFill>
                  <pic:spPr>
                    <a:xfrm>
                      <a:off x="0" y="0"/>
                      <a:ext cx="5276850" cy="2295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云径平，中山大学肿瘤防治中心病理科主任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教授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博士生导师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临床医学科学家，广东省医学领军人才，广东省高水平临床重点专科学科带头人，华南肿瘤学国家重点实验室课题组组长。博士毕业于香港中文大学病理学系，并在香港威尔斯亲王医院病理科进修。从事临床病理诊断工作</w:t>
      </w:r>
      <w:r>
        <w:rPr>
          <w:rStyle w:val="any"/>
          <w:rFonts w:ascii="Times New Roman" w:eastAsia="Times New Roman" w:hAnsi="Times New Roman" w:cs="Times New Roman"/>
          <w:spacing w:val="8"/>
          <w:lang w:val="en-US" w:eastAsia="en-US"/>
        </w:rPr>
        <w:t>38</w:t>
      </w:r>
      <w:r>
        <w:rPr>
          <w:rStyle w:val="any"/>
          <w:rFonts w:ascii="PMingLiU" w:eastAsia="PMingLiU" w:hAnsi="PMingLiU" w:cs="PMingLiU"/>
          <w:spacing w:val="8"/>
        </w:rPr>
        <w:t>年，擅长肿瘤病理诊断，近年来致力于病理人工智能的研究，已将人工智能应用于病理实践作为未来科研方向之一，作为第一发明人，发明病理图片的识别方法及装置，并获得中国、欧盟和美国的专利。主持多项国家级和省部级科研项目，其中以第一负责人承担国自然面上项目</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项，国家重点研发计划骨干</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项，广东省及广州市重点基金项目各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项，广州市科技计划重点研发计划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项。牵头或参与国际国内多中心临床研究</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项。在国际知名期刊发表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229</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余篇通讯作者论著。</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年获得国家科学技术进步奖二等奖，</w:t>
      </w:r>
      <w:r>
        <w:rPr>
          <w:rStyle w:val="any"/>
          <w:rFonts w:ascii="Times New Roman" w:eastAsia="Times New Roman" w:hAnsi="Times New Roman" w:cs="Times New Roman"/>
          <w:spacing w:val="8"/>
          <w:lang w:val="en-US" w:eastAsia="en-US"/>
        </w:rPr>
        <w:t>Wiley</w:t>
      </w:r>
      <w:r>
        <w:rPr>
          <w:rStyle w:val="any"/>
          <w:rFonts w:ascii="PMingLiU" w:eastAsia="PMingLiU" w:hAnsi="PMingLiU" w:cs="PMingLiU"/>
          <w:spacing w:val="8"/>
        </w:rPr>
        <w:t>医学期刊优秀作者奖。目前担任中国抗癌协会和中国临床肿瘤学会肿瘤病理专委会副主委，中国抗癌协会肝癌专业委员会病理学组副组长，广东省抗癌协会肿瘤病理专业委员会第一届和第三届委员会主任委员，广东省医师病理分会和广东省医学会病理学分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https://pubpeer.com/publications/6C56D87E70432B24C591FEC0288F18#0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1&amp;sn=d611203de02dbb8dbaa5d409b70b03e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