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82211"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71913"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61329"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