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只能是论文工厂来解释！山东省医学科学院附属医院副院长李道堂论文多处被质疑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B.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细胞用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15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 lg ml-1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小时（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），或用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 lg ml.1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OA</w:t>
      </w:r>
      <w:r>
        <w:rPr>
          <w:rStyle w:val="any"/>
          <w:rFonts w:ascii="PMingLiU" w:eastAsia="PMingLiU" w:hAnsi="PMingLiU" w:cs="PMingLiU"/>
          <w:spacing w:val="8"/>
        </w:rPr>
        <w:t>处理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48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72</w:t>
      </w:r>
      <w:r>
        <w:rPr>
          <w:rStyle w:val="any"/>
          <w:rFonts w:ascii="PMingLiU" w:eastAsia="PMingLiU" w:hAnsi="PMingLiU" w:cs="PMingLiU"/>
          <w:spacing w:val="8"/>
        </w:rPr>
        <w:t>小时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67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9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（此处为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微管蛋白）负载控制的其他表现包括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528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7268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]Peng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]Song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52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396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中负载控制的其他表现形式包括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5E</w:t>
      </w:r>
      <w:r>
        <w:rPr>
          <w:rStyle w:val="any"/>
          <w:rFonts w:ascii="PMingLiU" w:eastAsia="PMingLiU" w:hAnsi="PMingLiU" w:cs="PMingLiU"/>
          <w:spacing w:val="8"/>
        </w:rPr>
        <w:t>。来自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在这种处理下，通过免疫印迹法检测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A549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H460</w:t>
      </w:r>
      <w:r>
        <w:rPr>
          <w:rStyle w:val="any"/>
          <w:rFonts w:ascii="PMingLiU" w:eastAsia="PMingLiU" w:hAnsi="PMingLiU" w:cs="PMingLiU"/>
          <w:spacing w:val="8"/>
        </w:rPr>
        <w:t>细胞中的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]Hong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进行了蛋白质印迹分析以确认上述结果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95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6323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UPDATE: Another sighting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Cao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。用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 siRNA</w:t>
      </w:r>
      <w:r>
        <w:rPr>
          <w:rStyle w:val="any"/>
          <w:rFonts w:ascii="PMingLiU" w:eastAsia="PMingLiU" w:hAnsi="PMingLiU" w:cs="PMingLiU"/>
          <w:spacing w:val="8"/>
        </w:rPr>
        <w:t>或对照（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 nM</w:t>
      </w:r>
      <w:r>
        <w:rPr>
          <w:rStyle w:val="any"/>
          <w:rFonts w:ascii="PMingLiU" w:eastAsia="PMingLiU" w:hAnsi="PMingLiU" w:cs="PMingLiU"/>
          <w:spacing w:val="8"/>
        </w:rPr>
        <w:t>）转染心脏粘液瘤细胞。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24</w:t>
      </w:r>
      <w:r>
        <w:rPr>
          <w:rStyle w:val="any"/>
          <w:rFonts w:ascii="PMingLiU" w:eastAsia="PMingLiU" w:hAnsi="PMingLiU" w:cs="PMingLiU"/>
          <w:spacing w:val="8"/>
        </w:rPr>
        <w:t>小时后，通过免疫印迹分析测定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MEF2A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MEF2C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MEF2D</w:t>
      </w:r>
      <w:r>
        <w:rPr>
          <w:rStyle w:val="any"/>
          <w:rFonts w:ascii="PMingLiU" w:eastAsia="PMingLiU" w:hAnsi="PMingLiU" w:cs="PMingLiU"/>
          <w:spacing w:val="8"/>
        </w:rPr>
        <w:t>蛋白。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334000"/>
            <wp:docPr id="100005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72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242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72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Lirceolus pilus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860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207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https://link.springer.com/article/10.1007/s11010-014-2228-7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67325" cy="242887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353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李道堂，男，主任医师，研究员，山东省医学科学院附属医院副院长，外科学硕士生导师，擅长胸部肿瘤诊断与外科治疗。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～至今山东省肿瘤防治研究院胸外科主任医师，院办主任。拥有深厚所扎实的专业理论知识，熟悉并掌握肿瘤诊疗及科研新技术、新方法，在临床实践中，能够独立完成胸部肿瘤手术包括危重、复杂疑难手术，如巨大肺畸胎瘤切除术、支气管肺血管联合成形肺切除术、贲门癌根治性联合脏器切除术等。山东医学会胸心外科专业委员会委员、山东疼痛研究会癌痛专业委员会副主任委员、山东抗癌协会胸部肿瘤专业委员会委员、山东省及济南市医疗事故鉴定委员会专家库成员。多次被评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山东省医学科学院优秀共产党员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https://pubpeer.com/publications/45434C9F5BD107B20674E1DACD9DC0#0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4&amp;idx=3&amp;sn=47c835d7d48e1f0dffd3c3992f6a477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