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2025-04-08 08:39:12</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10533"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7&amp;idx=1&amp;sn=77cd533692816ce4038dc1d0f4e5a5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