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中国医科大学盛京医院刘彩霞</w:t>
        </w:r>
        <w:r>
          <w:rPr>
            <w:rStyle w:val="a"/>
            <w:rFonts w:ascii="Times New Roman" w:eastAsia="Times New Roman" w:hAnsi="Times New Roman" w:cs="Times New Roman"/>
            <w:b w:val="0"/>
            <w:bCs w:val="0"/>
            <w:spacing w:val="8"/>
          </w:rPr>
          <w:t>&amp;</w:t>
        </w:r>
        <w:r>
          <w:rPr>
            <w:rStyle w:val="a"/>
            <w:rFonts w:ascii="PMingLiU" w:eastAsia="PMingLiU" w:hAnsi="PMingLiU" w:cs="PMingLiU"/>
            <w:b w:val="0"/>
            <w:bCs w:val="0"/>
            <w:spacing w:val="8"/>
          </w:rPr>
          <w:t>乔宠的论文被撤稿，流式细胞术数据与其他已提交待发表论文数据惊人相似</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2025-04-07 18:04:33</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PMingLiU" w:eastAsia="PMingLiU" w:hAnsi="PMingLiU" w:cs="PMingLiU"/>
          <w:spacing w:val="9"/>
        </w:rPr>
        <w:t>一</w:t>
      </w: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34081"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32718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2019</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中国医科大学盛京医院妇产科的</w:t>
      </w:r>
      <w:r>
        <w:rPr>
          <w:rStyle w:val="any"/>
          <w:rFonts w:ascii="Times New Roman" w:eastAsia="Times New Roman" w:hAnsi="Times New Roman" w:cs="Times New Roman"/>
          <w:color w:val="C84D0C"/>
          <w:spacing w:val="9"/>
          <w:sz w:val="21"/>
          <w:szCs w:val="21"/>
        </w:rPr>
        <w:t>Na Li</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color w:val="C84D0C"/>
          <w:spacing w:val="9"/>
          <w:sz w:val="21"/>
          <w:szCs w:val="21"/>
        </w:rPr>
        <w:t xml:space="preserve"> &amp; C</w:t>
      </w:r>
      <w:r>
        <w:rPr>
          <w:rStyle w:val="any"/>
          <w:rFonts w:ascii="Times New Roman" w:eastAsia="Times New Roman" w:hAnsi="Times New Roman" w:cs="Times New Roman"/>
          <w:color w:val="C84D0C"/>
          <w:spacing w:val="9"/>
          <w:sz w:val="21"/>
          <w:szCs w:val="21"/>
        </w:rPr>
        <w:t>aixia Liu</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刘彩霞</w:t>
      </w:r>
      <w:r>
        <w:rPr>
          <w:rStyle w:val="any"/>
          <w:rFonts w:ascii="PMingLiU" w:eastAsia="PMingLiU" w:hAnsi="PMingLiU" w:cs="PMingLiU"/>
          <w:color w:val="C84D0C"/>
          <w:spacing w:val="9"/>
          <w:sz w:val="21"/>
          <w:szCs w:val="21"/>
        </w:rPr>
        <w:t>）</w:t>
      </w:r>
      <w:r>
        <w:rPr>
          <w:rStyle w:val="any"/>
          <w:rFonts w:ascii="Times New Roman" w:eastAsia="Times New Roman" w:hAnsi="Times New Roman" w:cs="Times New Roman"/>
          <w:color w:val="C84D0C"/>
          <w:spacing w:val="9"/>
          <w:sz w:val="21"/>
          <w:szCs w:val="21"/>
        </w:rPr>
        <w:t> </w:t>
      </w:r>
      <w:r>
        <w:rPr>
          <w:rStyle w:val="any"/>
          <w:rFonts w:ascii="Times New Roman" w:eastAsia="Times New Roman" w:hAnsi="Times New Roman" w:cs="Times New Roman"/>
          <w:color w:val="C84D0C"/>
          <w:spacing w:val="9"/>
          <w:sz w:val="21"/>
          <w:szCs w:val="21"/>
        </w:rPr>
        <w:t>&amp; </w:t>
      </w:r>
      <w:r>
        <w:rPr>
          <w:rStyle w:val="any"/>
          <w:rFonts w:ascii="Times New Roman" w:eastAsia="Times New Roman" w:hAnsi="Times New Roman" w:cs="Times New Roman"/>
          <w:color w:val="C84D0C"/>
          <w:spacing w:val="9"/>
          <w:sz w:val="21"/>
          <w:szCs w:val="21"/>
        </w:rPr>
        <w:t>Chong Qiao</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乔宠</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J</w:t>
      </w:r>
      <w:r>
        <w:rPr>
          <w:rStyle w:val="any"/>
          <w:rFonts w:ascii="Times New Roman" w:eastAsia="Times New Roman" w:hAnsi="Times New Roman" w:cs="Times New Roman"/>
          <w:spacing w:val="9"/>
          <w:sz w:val="21"/>
          <w:szCs w:val="21"/>
        </w:rPr>
        <w:t>Molecular Medicine Reports(</w:t>
      </w:r>
      <w:r>
        <w:rPr>
          <w:rStyle w:val="any"/>
          <w:rFonts w:ascii="PMingLiU" w:eastAsia="PMingLiU" w:hAnsi="PMingLiU" w:cs="PMingLiU"/>
          <w:spacing w:val="9"/>
          <w:sz w:val="21"/>
          <w:szCs w:val="21"/>
        </w:rPr>
        <w:t>中科院四区</w:t>
      </w:r>
      <w:r>
        <w:rPr>
          <w:rStyle w:val="any"/>
          <w:rFonts w:ascii="Times New Roman" w:eastAsia="Times New Roman" w:hAnsi="Times New Roman" w:cs="Times New Roman"/>
          <w:spacing w:val="9"/>
          <w:sz w:val="21"/>
          <w:szCs w:val="21"/>
        </w:rPr>
        <w:t xml:space="preserve"> IF=3.4)</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role of Zeb1 in the pathogenesis of morbidly adherent placenta"</w:t>
      </w:r>
      <w:r>
        <w:rPr>
          <w:rStyle w:val="any"/>
          <w:rFonts w:ascii="Times New Roman" w:eastAsia="Times New Roman" w:hAnsi="Times New Roman" w:cs="Times New Roman"/>
          <w:spacing w:val="9"/>
          <w:sz w:val="21"/>
          <w:szCs w:val="21"/>
        </w:rPr>
        <w:t>(</w:t>
      </w:r>
      <w:r>
        <w:rPr>
          <w:rStyle w:val="any"/>
          <w:rFonts w:ascii="Times New Roman" w:eastAsia="Times New Roman" w:hAnsi="Times New Roman" w:cs="Times New Roman"/>
          <w:spacing w:val="9"/>
          <w:sz w:val="21"/>
          <w:szCs w:val="21"/>
        </w:rPr>
        <w:t>Zeb1</w:t>
      </w:r>
      <w:r>
        <w:rPr>
          <w:rStyle w:val="any"/>
          <w:rFonts w:ascii="PMingLiU" w:eastAsia="PMingLiU" w:hAnsi="PMingLiU" w:cs="PMingLiU"/>
          <w:spacing w:val="9"/>
          <w:sz w:val="21"/>
          <w:szCs w:val="21"/>
        </w:rPr>
        <w:t>在病态粘连胎盘发病机制中的作用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w:t>
      </w:r>
      <w:r>
        <w:rPr>
          <w:rStyle w:val="any"/>
          <w:rFonts w:ascii="PMingLiU" w:eastAsia="PMingLiU" w:hAnsi="PMingLiU" w:cs="PMingLiU"/>
          <w:spacing w:val="9"/>
        </w:rPr>
        <w:t>文。</w:t>
      </w: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432" w:lineRule="atLeast"/>
        <w:ind w:left="315" w:right="315"/>
        <w:rPr>
          <w:rStyle w:val="any"/>
          <w:rFonts w:ascii="Times New Roman" w:eastAsia="Times New Roman" w:hAnsi="Times New Roman" w:cs="Times New Roman"/>
          <w:spacing w:val="9"/>
        </w:rPr>
      </w:pPr>
      <w:r>
        <w:rPr>
          <w:rStyle w:val="any"/>
          <w:rFonts w:ascii="PMingLiU" w:eastAsia="PMingLiU" w:hAnsi="PMingLiU" w:cs="PMingLiU"/>
          <w:spacing w:val="9"/>
          <w:sz w:val="21"/>
          <w:szCs w:val="21"/>
        </w:rPr>
        <w:t>这项工作得到了国家重点研发计划生殖健康及重大出生缺陷防控专项（项目编号：</w:t>
      </w:r>
      <w:r>
        <w:rPr>
          <w:rStyle w:val="any"/>
          <w:rFonts w:ascii="Times New Roman" w:eastAsia="Times New Roman" w:hAnsi="Times New Roman" w:cs="Times New Roman"/>
          <w:spacing w:val="9"/>
          <w:sz w:val="21"/>
          <w:szCs w:val="21"/>
        </w:rPr>
        <w:t>2016YFC1000404</w:t>
      </w:r>
      <w:r>
        <w:rPr>
          <w:rStyle w:val="any"/>
          <w:rFonts w:ascii="PMingLiU" w:eastAsia="PMingLiU" w:hAnsi="PMingLiU" w:cs="PMingLiU"/>
          <w:spacing w:val="9"/>
          <w:sz w:val="21"/>
          <w:szCs w:val="21"/>
        </w:rPr>
        <w:t>，授予乔宠）和辽宁省教育厅科技项目（项目编号：</w:t>
      </w:r>
      <w:r>
        <w:rPr>
          <w:rStyle w:val="any"/>
          <w:rFonts w:ascii="Times New Roman" w:eastAsia="Times New Roman" w:hAnsi="Times New Roman" w:cs="Times New Roman"/>
          <w:spacing w:val="9"/>
          <w:sz w:val="21"/>
          <w:szCs w:val="21"/>
        </w:rPr>
        <w:t>LS201611</w:t>
      </w:r>
      <w:r>
        <w:rPr>
          <w:rStyle w:val="any"/>
          <w:rFonts w:ascii="PMingLiU" w:eastAsia="PMingLiU" w:hAnsi="PMingLiU" w:cs="PMingLiU"/>
          <w:spacing w:val="9"/>
          <w:sz w:val="21"/>
          <w:szCs w:val="21"/>
        </w:rPr>
        <w:t>，授予李娜）的支持。</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84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02793" name=""/>
                    <pic:cNvPicPr>
                      <a:picLocks noChangeAspect="1"/>
                    </pic:cNvPicPr>
                  </pic:nvPicPr>
                  <pic:blipFill>
                    <a:blip xmlns:r="http://schemas.openxmlformats.org/officeDocument/2006/relationships" r:embed="rId8"/>
                    <a:stretch>
                      <a:fillRect/>
                    </a:stretch>
                  </pic:blipFill>
                  <pic:spPr>
                    <a:xfrm>
                      <a:off x="0" y="0"/>
                      <a:ext cx="5486400" cy="3484880"/>
                    </a:xfrm>
                    <a:prstGeom prst="rect">
                      <a:avLst/>
                    </a:prstGeom>
                  </pic:spPr>
                </pic:pic>
              </a:graphicData>
            </a:graphic>
          </wp:inline>
        </w:drawing>
      </w:r>
    </w:p>
    <w:p>
      <w:pPr>
        <w:shd w:val="clear" w:color="auto" w:fill="FFFFFF"/>
        <w:spacing w:before="0" w:after="0" w:line="432" w:lineRule="atLeast"/>
        <w:ind w:left="315" w:right="315"/>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486400" cy="3086100"/>
            <wp:docPr id="100004" name="" descr="去趟中国医大盛京医院沈北院区，给我的感触颇深，身体健康最重要,情感,正能量,好看视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950333" name=""/>
                    <pic:cNvPicPr>
                      <a:picLocks noChangeAspect="1"/>
                    </pic:cNvPicPr>
                  </pic:nvPicPr>
                  <pic:blipFill>
                    <a:blip xmlns:r="http://schemas.openxmlformats.org/officeDocument/2006/relationships" r:embed="rId9"/>
                    <a:stretch>
                      <a:fillRect/>
                    </a:stretch>
                  </pic:blipFill>
                  <pic:spPr>
                    <a:xfrm>
                      <a:off x="0" y="0"/>
                      <a:ext cx="5486400" cy="3086100"/>
                    </a:xfrm>
                    <a:prstGeom prst="rect">
                      <a:avLst/>
                    </a:prstGeom>
                  </pic:spPr>
                </pic:pic>
              </a:graphicData>
            </a:graphic>
          </wp:inline>
        </w:drawing>
      </w:r>
    </w:p>
    <w:p>
      <w:pPr>
        <w:shd w:val="clear" w:color="auto" w:fill="FFFFFF"/>
        <w:spacing w:before="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378" w:lineRule="atLeast"/>
        <w:ind w:left="405" w:right="405"/>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08069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405" w:right="405"/>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rPr>
          <w:rStyle w:val="any"/>
          <w:rFonts w:ascii="Microsoft YaHei UI" w:eastAsia="Microsoft YaHei UI" w:hAnsi="Microsoft YaHei UI" w:cs="Microsoft YaHei UI"/>
          <w:color w:val="3E3E3E"/>
          <w:spacing w:val="9"/>
          <w:sz w:val="21"/>
          <w:szCs w:val="21"/>
        </w:rPr>
      </w:pPr>
    </w:p>
    <w:p>
      <w:pPr>
        <w:pStyle w:val="p"/>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405" w:right="405" w:hanging="196"/>
        <w:jc w:val="left"/>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b/>
          <w:bCs/>
          <w:color w:val="3E3E3E"/>
          <w:spacing w:val="9"/>
          <w:sz w:val="21"/>
          <w:szCs w:val="21"/>
        </w:rPr>
        <w:t>图</w:t>
      </w:r>
      <w:r>
        <w:rPr>
          <w:rStyle w:val="any"/>
          <w:rFonts w:ascii="Microsoft YaHei UI" w:eastAsia="Microsoft YaHei UI" w:hAnsi="Microsoft YaHei UI" w:cs="Microsoft YaHei UI"/>
          <w:b/>
          <w:bCs/>
          <w:color w:val="3E3E3E"/>
          <w:spacing w:val="9"/>
          <w:sz w:val="21"/>
          <w:szCs w:val="21"/>
        </w:rPr>
        <w:t>2C, 3C</w:t>
      </w:r>
      <w:r>
        <w:rPr>
          <w:rStyle w:val="any"/>
          <w:rFonts w:ascii="Microsoft YaHei UI" w:eastAsia="Microsoft YaHei UI" w:hAnsi="Microsoft YaHei UI" w:cs="Microsoft YaHei UI"/>
          <w:b/>
          <w:bCs/>
          <w:color w:val="3E3E3E"/>
          <w:spacing w:val="9"/>
          <w:sz w:val="21"/>
          <w:szCs w:val="21"/>
        </w:rPr>
        <w:t>的的流式细胞术图与无关论文中的图像数据重复。</w:t>
      </w: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Figs 2C, 3C.</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3004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108337" name=""/>
                    <pic:cNvPicPr>
                      <a:picLocks noChangeAspect="1"/>
                    </pic:cNvPicPr>
                  </pic:nvPicPr>
                  <pic:blipFill>
                    <a:blip xmlns:r="http://schemas.openxmlformats.org/officeDocument/2006/relationships" r:embed="rId10"/>
                    <a:stretch>
                      <a:fillRect/>
                    </a:stretch>
                  </pic:blipFill>
                  <pic:spPr>
                    <a:xfrm>
                      <a:off x="0" y="0"/>
                      <a:ext cx="5486400" cy="130048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after="0" w:line="432" w:lineRule="atLeast"/>
        <w:ind w:left="375" w:right="375"/>
        <w:rPr>
          <w:rStyle w:val="any"/>
          <w:rFonts w:ascii="Microsoft YaHei UI" w:eastAsia="Microsoft YaHei UI" w:hAnsi="Microsoft YaHei UI" w:cs="Microsoft YaHei UI"/>
          <w:color w:val="3E3E3E"/>
          <w:spacing w:val="9"/>
          <w:sz w:val="21"/>
          <w:szCs w:val="21"/>
        </w:rPr>
      </w:pPr>
      <w:r>
        <w:rPr>
          <w:rStyle w:val="any"/>
          <w:rFonts w:ascii="Microsoft YaHei UI" w:eastAsia="Microsoft YaHei UI" w:hAnsi="Microsoft YaHei UI" w:cs="Microsoft YaHei UI"/>
          <w:color w:val="3E3E3E"/>
          <w:spacing w:val="9"/>
          <w:sz w:val="21"/>
          <w:szCs w:val="21"/>
        </w:rPr>
        <w:t>Fig 6B from "miR-489 promotes apoptosis and inhibits invasiveness of glioma cells by targeting PAK5/RAF1 signaling pathways" (Wang et al 2019) [retracted].</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149352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517390" name=""/>
                    <pic:cNvPicPr>
                      <a:picLocks noChangeAspect="1"/>
                    </pic:cNvPicPr>
                  </pic:nvPicPr>
                  <pic:blipFill>
                    <a:blip xmlns:r="http://schemas.openxmlformats.org/officeDocument/2006/relationships" r:embed="rId11"/>
                    <a:stretch>
                      <a:fillRect/>
                    </a:stretch>
                  </pic:blipFill>
                  <pic:spPr>
                    <a:xfrm>
                      <a:off x="0" y="0"/>
                      <a:ext cx="5486400" cy="1493520"/>
                    </a:xfrm>
                    <a:prstGeom prst="rect">
                      <a:avLst/>
                    </a:prstGeom>
                  </pic:spPr>
                </pic:pic>
              </a:graphicData>
            </a:graphic>
          </wp:inline>
        </w:drawing>
      </w:r>
    </w:p>
    <w:p>
      <w:pP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Figs 2C, 5B from "LncRNA HAND2-AS1 exerts anti-oncogenic efects on bladder cancer via restoration of RARB as a sponge of microRNA-146" (Shan et al 2021).</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295656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68893" name=""/>
                    <pic:cNvPicPr>
                      <a:picLocks noChangeAspect="1"/>
                    </pic:cNvPicPr>
                  </pic:nvPicPr>
                  <pic:blipFill>
                    <a:blip xmlns:r="http://schemas.openxmlformats.org/officeDocument/2006/relationships" r:embed="rId12"/>
                    <a:stretch>
                      <a:fillRect/>
                    </a:stretch>
                  </pic:blipFill>
                  <pic:spPr>
                    <a:xfrm>
                      <a:off x="0" y="0"/>
                      <a:ext cx="5486400" cy="29565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color w:val="3E3E3E"/>
          <w:spacing w:val="9"/>
          <w:sz w:val="21"/>
          <w:szCs w:val="21"/>
        </w:rPr>
        <w:t>Fig 4F,G from "Sulfated polysaccharide of Sepiella maindroni ink targets Akt and overcomes resistance to the FGFR inhibitor AZD4547 in bladder cancer" (Shan et al 2019).</w:t>
      </w:r>
    </w:p>
    <w:p>
      <w:pPr>
        <w:shd w:val="clear" w:color="auto" w:fill="FFFFFF"/>
        <w:spacing w:before="0" w:after="0" w:line="432" w:lineRule="atLeast"/>
        <w:ind w:left="375" w:right="375"/>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rPr>
        <w:drawing>
          <wp:inline>
            <wp:extent cx="5486400" cy="3896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645198" name=""/>
                    <pic:cNvPicPr>
                      <a:picLocks noChangeAspect="1"/>
                    </pic:cNvPicPr>
                  </pic:nvPicPr>
                  <pic:blipFill>
                    <a:blip xmlns:r="http://schemas.openxmlformats.org/officeDocument/2006/relationships" r:embed="rId13"/>
                    <a:stretch>
                      <a:fillRect/>
                    </a:stretch>
                  </pic:blipFill>
                  <pic:spPr>
                    <a:xfrm>
                      <a:off x="0" y="0"/>
                      <a:ext cx="5486400" cy="3896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75" w:right="375"/>
        <w:rPr>
          <w:rStyle w:val="any"/>
          <w:rFonts w:ascii="Microsoft YaHei UI" w:eastAsia="Microsoft YaHei UI" w:hAnsi="Microsoft YaHei UI" w:cs="Microsoft YaHei UI"/>
          <w:color w:val="3E3E3E"/>
          <w:spacing w:val="9"/>
        </w:rPr>
      </w:pPr>
    </w:p>
    <w:p>
      <w:pPr>
        <w:shd w:val="clear" w:color="auto" w:fill="FFFFFF"/>
        <w:spacing w:before="0" w:after="0" w:line="432" w:lineRule="atLeast"/>
        <w:ind w:left="450" w:right="45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5854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450" w:right="45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65" w:right="46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于2025年3月17日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color w:val="3E3E3E"/>
          <w:spacing w:val="9"/>
          <w:sz w:val="21"/>
          <w:szCs w:val="21"/>
        </w:rPr>
        <w:t>论文发表后，一位关心的读者向编辑指出，第2817页图2C和第2818页图3C中展示的某些流式细胞术检测数据与另一篇由不同研究机构的不同作者撰写的、已提交待发表的论文中的数据惊人地相似。</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color w:val="3E3E3E"/>
          <w:spacing w:val="9"/>
          <w:sz w:val="21"/>
          <w:szCs w:val="21"/>
        </w:rPr>
        <w:t>鉴于上述文章中的争议数据在提交至《</w:t>
      </w:r>
      <w:r>
        <w:rPr>
          <w:rStyle w:val="any"/>
          <w:rFonts w:ascii="Microsoft YaHei UI" w:eastAsia="Microsoft YaHei UI" w:hAnsi="Microsoft YaHei UI" w:cs="Microsoft YaHei UI"/>
          <w:b w:val="0"/>
          <w:bCs w:val="0"/>
          <w:color w:val="3E3E3E"/>
          <w:spacing w:val="9"/>
          <w:sz w:val="21"/>
          <w:szCs w:val="21"/>
        </w:rPr>
        <w:t>Molecular Medicine Reports》之前已处于待发表考虑状态，编辑决定撤回该论文。作者被要求对此问题作出解释，但编辑部未收到回复。编辑向读者致歉，对由此造成的不便表示歉意。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450" w:right="45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432" w:lineRule="atLeast"/>
        <w:ind w:left="390" w:right="390"/>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50980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https://pubpeer.com/publications/B07B4AFC1C6F49E6C37EF6210242CC#2</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https://pubmed.ncbi.nlm.nih.gov/31322233/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https://www.spandidos-publications.com/10.3892/mmr.2025.13493</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numbering" Target="numbering.xml" /><Relationship Id="rId15"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7025&amp;idx=2&amp;sn=78adcce46fa93de4e16d3e157e55b3a8"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