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9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19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04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140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56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38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71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44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