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湖北省中西医结合医院论文被强行撤回，或涉严重学术不端行为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2025-04-15 07:12:00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756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00586" name=""/>
                    <pic:cNvPicPr>
                      <a:picLocks noChangeAspect="1"/>
                    </pic:cNvPicPr>
                  </pic:nvPicPr>
                  <pic:blipFill>
                    <a:blip xmlns:r="http://schemas.openxmlformats.org/officeDocument/2006/relationships" r:embed="rId6"/>
                    <a:stretch>
                      <a:fillRect/>
                    </a:stretch>
                  </pic:blipFill>
                  <pic:spPr>
                    <a:xfrm>
                      <a:off x="0" y="0"/>
                      <a:ext cx="5486400" cy="3177564"/>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2023年，来自湖北省中西医结合医院肾病科的Lingxi Liu , Yanxia Zhang , Liping Zhong （通讯作者）在</w:t>
      </w:r>
      <w:r>
        <w:rPr>
          <w:rStyle w:val="any"/>
          <w:rFonts w:ascii="Microsoft YaHei UI" w:eastAsia="Microsoft YaHei UI" w:hAnsi="Microsoft YaHei UI" w:cs="Microsoft YaHei UI"/>
          <w:b w:val="0"/>
          <w:bCs w:val="0"/>
          <w:i w:val="0"/>
          <w:iCs w:val="0"/>
          <w:spacing w:val="9"/>
          <w:sz w:val="21"/>
          <w:szCs w:val="21"/>
        </w:rPr>
        <w:t>Immunity, Inflammation and Disease 期刊发表了一篇题目为：</w:t>
      </w:r>
      <w:r>
        <w:rPr>
          <w:rStyle w:val="any"/>
          <w:rFonts w:ascii="Microsoft YaHei UI" w:eastAsia="Microsoft YaHei UI" w:hAnsi="Microsoft YaHei UI" w:cs="Microsoft YaHei UI"/>
          <w:b w:val="0"/>
          <w:bCs w:val="0"/>
          <w:i w:val="0"/>
          <w:iCs w:val="0"/>
          <w:spacing w:val="9"/>
          <w:sz w:val="21"/>
          <w:szCs w:val="21"/>
        </w:rPr>
        <w:t>LncRNA TUG1 relieves renal mesangial cell injury by modulating the miR‐153‐3p/Bcl‐2 axis in lupus nephritis的论文。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66179" name=""/>
                    <pic:cNvPicPr>
                      <a:picLocks noChangeAspect="1"/>
                    </pic:cNvPicPr>
                  </pic:nvPicPr>
                  <pic:blipFill>
                    <a:blip xmlns:r="http://schemas.openxmlformats.org/officeDocument/2006/relationships" r:embed="rId7"/>
                    <a:stretch>
                      <a:fillRect/>
                    </a:stretch>
                  </pic:blipFill>
                  <pic:spPr>
                    <a:xfrm>
                      <a:off x="0" y="0"/>
                      <a:ext cx="5486400" cy="36576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2025年2月，国际著名职业学术打假人Actinopolyspora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462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65813" name=""/>
                    <pic:cNvPicPr>
                      <a:picLocks noChangeAspect="1"/>
                    </pic:cNvPicPr>
                  </pic:nvPicPr>
                  <pic:blipFill>
                    <a:blip xmlns:r="http://schemas.openxmlformats.org/officeDocument/2006/relationships" r:embed="rId8"/>
                    <a:stretch>
                      <a:fillRect/>
                    </a:stretch>
                  </pic:blipFill>
                  <pic:spPr>
                    <a:xfrm>
                      <a:off x="0" y="0"/>
                      <a:ext cx="5486400" cy="7462520"/>
                    </a:xfrm>
                    <a:prstGeom prst="rect">
                      <a:avLst/>
                    </a:prstGeom>
                  </pic:spPr>
                </pic:pic>
              </a:graphicData>
            </a:graphic>
          </wp:inline>
        </w:drawing>
      </w:r>
    </w:p>
    <w:p>
      <w:pPr>
        <w:spacing w:before="0" w:after="150" w:line="384" w:lineRule="atLeast"/>
        <w:ind w:left="300" w:right="300"/>
        <w:rPr>
          <w:rStyle w:val="any"/>
          <w:rFonts w:ascii="Times New Roman" w:eastAsia="Times New Roman" w:hAnsi="Times New Roman" w:cs="Times New Roman"/>
          <w:spacing w:val="8"/>
        </w:rPr>
      </w:pP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0</w:t>
      </w:r>
      <w:r>
        <w:rPr>
          <w:rStyle w:val="any"/>
          <w:rFonts w:ascii="Times New Roman" w:eastAsia="Times New Roman" w:hAnsi="Times New Roman" w:cs="Times New Roman"/>
          <w:b/>
          <w:bCs/>
          <w:color w:val="FFD060"/>
          <w:spacing w:val="8"/>
          <w:sz w:val="30"/>
          <w:szCs w:val="30"/>
        </w:rPr>
        <w:t>3</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11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以上文章于 2023 年 4 月 12 日在线发表在 Wiley 在线图书馆 （wileyonlinelibrary.com） 上，经期刊主编 Marc Veldhoen 之间的协议撤回;和John Wiley &amp; Sons Ltd.。在对第三方提出的问题进行调查后，已同意撤回。调查显示，图 6B 中所示的 LPS+miR-153-3p 抑制剂流式细胞术图在代表不同科学条件的不同作者组的另一篇文章中被发现重复。作者提供了解释和一些数据，但认为这还不够。编辑们对所提供的数据失去了信心，并认为结论受到了损害。作者不同意撤回。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https://pubpeer.com/publications/48154F4D71DC73EF00F28709FFDB1A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21004"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439&amp;idx=1&amp;sn=7083af727e665928789e4dc6d45a22c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