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隆重推出：只要没有不合理的图片重复使用，上海生化细胞所杰青获得者就能领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20000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元奖金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18:57:23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877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诚信科研编辑部检测了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中国科学院上海生物化学与细胞生物学研究所的31位杰青获得者（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http://cemcs.cas.cn/rcdw/jcqn/）所有的文章，发现有极少数学者存在极高的图片重复使用情况，尤其是存在数据操纵行为，后续会系统性披露弄虚作假的学者。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现在推出活动，只要在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中国科学院上海生物化学与细胞生物学研究所的这31位PI，其署名的所有的文章只要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  <w:shd w:val="clear" w:color="auto" w:fill="FFFFFF"/>
        </w:rPr>
        <w:t>不存在任何不合理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的图片重复使用，诚信科研编辑部会奖励其研究员（PI）20000元的奖励。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  <w:shd w:val="clear" w:color="auto" w:fill="FFFFFF"/>
        </w:rPr>
        <w:t>诚信科研也欢迎任何符合要求的PI积极踊跃报名，只要诚信科研编辑部一经确认，就可以领取奖金。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另外，2025年2月27日，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诚信科研编辑部筛完了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中国科学院上海营养与健康研究所发表的所有文章（数量超过5000篇）（钱友存，胡国宏，孙宇，谢东，王莹，杨黄恬等56位研究员），现在推出活动，只要在上海营养与健康研究所的课题组组长（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  <w:shd w:val="clear" w:color="auto" w:fill="FFFFFF"/>
        </w:rPr>
        <w:t>单纯做数学及生信的PI除外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，文章发表数量需超过50篇，包含其署名作者），其所有的文章只要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  <w:shd w:val="clear" w:color="auto" w:fill="FFFFFF"/>
        </w:rPr>
        <w:t>不存在任何不合理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的图片重复使用，诚信科研编辑部会奖励其研究员（PI）5000元的奖励。诚信科研也欢迎任何符合要求的PI积极踊跃报名，只要诚信科研编辑部一经确认，就可以领取奖金（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 w:val="0"/>
            <w:bCs w:val="0"/>
            <w:i w:val="0"/>
            <w:iCs w:val="0"/>
            <w:caps w:val="0"/>
            <w:spacing w:val="8"/>
            <w:sz w:val="23"/>
            <w:szCs w:val="23"/>
            <w:shd w:val="clear" w:color="auto" w:fill="FFFFFF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）。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  <w:shd w:val="clear" w:color="auto" w:fill="FFFFFF"/>
        </w:rPr>
        <w:t>截至到2025年4月13日，诚信科研编辑部还没有收到报名人员。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  <w:shd w:val="clear" w:color="auto" w:fill="FFFFFF"/>
        </w:rPr>
        <w:t>有期限为截至到2026年12月31日。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  <w:shd w:val="clear" w:color="auto" w:fill="FFFFFF"/>
        </w:rPr>
        <w:t>报名方式（需要PI自己报名）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邮箱</w:t>
      </w:r>
      <w:r>
        <w:rPr>
          <w:rStyle w:val="any"/>
          <w:rFonts w:ascii="Times New Roman" w:eastAsia="Times New Roman" w:hAnsi="Times New Roman" w:cs="Times New Roman"/>
          <w:spacing w:val="8"/>
        </w:rPr>
        <w:t>921253546@qq.com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  <w:shd w:val="clear" w:color="auto" w:fill="FFFFFF"/>
        </w:rPr>
        <w:t>参考消息：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  <w:shd w:val="clear" w:color="auto" w:fill="FFFFFF"/>
        </w:rPr>
        <w:t>http://cemcs.cas.cn/rcdw/jcqn/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24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240" w:line="394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394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4054145" cy="232718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6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4145" cy="232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172&amp;idx=1&amp;sn=9a06fe2872ec9ff8dc41ca27d88ae5e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scene=21#wechat_redirect" TargetMode="External" /><Relationship Id="rId7" Type="http://schemas.openxmlformats.org/officeDocument/2006/relationships/image" Target="media/image1.jpeg" /><Relationship Id="rId8" Type="http://schemas.openxmlformats.org/officeDocument/2006/relationships/hyperlink" Target="https://mp.weixin.qq.com/s?__biz=Mzg2Mzc2NzUxMQ==&amp;mid=2247520431&amp;idx=1&amp;sn=afcdc0d489c6d84cade0c742fc02ebcb&amp;scene=21" TargetMode="External" /><Relationship Id="rId9" Type="http://schemas.openxmlformats.org/officeDocument/2006/relationships/image" Target="media/image2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