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太和医院药学系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Dis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论文多图雷同共享遭撤回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15:33:29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6123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0437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太和医院药学系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Cell Death Dis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论文多图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雷同共享遭撤回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The JAK2/STAT3 and mitochondrial pathways are essential for quercetin nanoliposome-induced C6 glioma cell death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JAK2/STAT3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和线粒体通路是槲皮素纳米脂质体诱导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胶质瘤细胞死亡的关键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槲皮素纳米脂质体（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）的配方已被证明可以增强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胶质瘤细胞中的抗肿瘤活性。在高浓度下，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诱导坏死细胞死亡。在这项研究中，我们探讨了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胶质瘤细胞死亡的分子机制，并通过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STAT3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信号转导通路检测了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诱发的程序性细胞死亡是否涉及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家族和线粒体通路。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QUE-NL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的下调和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Bax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的过表达支持了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家族蛋白在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胶质瘤细胞死亡上游的参与。此外，在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胶质瘤细胞中暴露于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JAK2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STAT3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的激活发生了变化，这表明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STAT3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介导的信号通路，通过直接或间接机制下调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 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的表达并增强线粒体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的表达。坏死和凋亡途径共享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、线粒体和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家族等几个组成部分。我们的研究表明，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胶质瘤细胞死亡中线粒体通路和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JAK2/STAT3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信号通路的信号交叉点受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的调节。总之，单独调节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JAK2/STAT3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介导的线粒体途径激动剂或与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联合治疗可能是治疗耐化学性胶质瘤的更有效方法。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湖北省十堰市湖北医科大学太和医院药学系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Cell Death Dis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多图雷同共享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主编们撤回了这篇文章。提出了多个图像问题，包括图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1A-C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之间的相似性，以及与同一作者之前发表的一篇论文的相似性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。几个月前，同一作者发表的一篇论文的图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中也发现了图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中的两个面板，代表了不同的条件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[2]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。因此，主编们对本文的基础数据失去了信心。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9600" cy="191138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8909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9600" cy="1911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605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163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6756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606&amp;idx=1&amp;sn=b9df83146143599013b9e405c44a766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