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两组面板似乎重叠！天津医科大学肿瘤医院论文遭质疑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14:36:44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Breast Cancer Research and Treatment (2012)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"The in vitro and in vivo effects of human umbilical cord mesenchymal stem cells on the growth of breast cancer cells”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人脐带间充质干细胞对乳腺癌细胞生长的体内外影响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10.1007/s10549-011-1774-x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面板存在多处重叠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。该论文由来自天津医科大学肿瘤医院的作者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Yi Ma , Xiaomeng Hao , Sheng Zhang , Jin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 Zhang(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9506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11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两个面板似乎重叠，代表不同的情况：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01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9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</w:t>
      </w:r>
      <w:r>
        <w:rPr>
          <w:rStyle w:val="any"/>
          <w:rFonts w:ascii="PMingLiU" w:eastAsia="PMingLiU" w:hAnsi="PMingLiU" w:cs="PMingLiU"/>
          <w:spacing w:val="8"/>
        </w:rPr>
        <w:t>：两对面板似乎大部分重叠或相同：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4734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56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Illex illecebrosus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4755226883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24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帖子的链接位于描述中。请注意，我们不做任何评判，只是将其他人的观察结果可视化。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https://pubmed.ncbi.nlm.nih.gov/21947651/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https://pubpeer.org/publications/FAC9CCB050A99FC11CE5CD8382E38D#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天津医科大学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天津医科大学肿瘤医院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2668582921682944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61&amp;idx=2&amp;sn=5bdffb9fec34f5ac02bcafe613d76b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