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在不同的时间点下图像数据惊现高相似度！复旦大学生命科学学院与同济大学医学院合作研究遭质疑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09:47:35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Oncotarget (2015)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"PPE26 induces TLR2-dependent activation of macrophages and drives Th1-type T-cell immunity by triggering the cross-talk of multiple pathways involved in the host response“PPE26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诱导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TLR2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依赖性巨噬细胞活化，并通过触发参与宿主反应的多种通路的串扰来驱动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Th1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型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T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细胞免疫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10.18632/oncotarget.5956)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Xenosphingia jansei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不同时期的相似程度比预期的要高得多。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该论文由来自复旦大学生命科学学院遗传研究所，遗传工程国家重点实验室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同济大学医学院附属上海市肺科医院临床检验科的作者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Haibo Su , Cong Kong , Lin Zhu , Qi Huang , Liulin Luo , Honghai Wang , Ying Xu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Honghai Wang(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复旦大学生命科学学院遗传研究所，遗传工程国家重点实验室）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Ying Xu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（同济大学医学院附属上海市肺科医院临床检验科）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24916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842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Xenosphingia jansei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比预期的相似度更高。相似度由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119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816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不同时期的相似程度比预期的要高得多。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6977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563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https://pmc.ncbi.nlm.nih.gov/articles/PMC4770718/#fn-group1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https://pubpeer.com/publications/C60AF9985B3E47069A6FEB818A1ABC#0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复旦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上海复旦大学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691&amp;idx=4&amp;sn=22f896328a818ef419a94e5189d82b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3979392654622720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