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图像质量虽差，雷同却明显！太原理工大学省部共建国家重点实验室副主任研究遭质疑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Molecular Catalysis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"Graphene supported Cu nanoparticles as catalysts for the synthesis of dimethyl carbonate: Effect of carbon black intercalation"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石墨烯负载铜纳米颗粒催化碳酸二甲酯合成：炭黑插层效应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DOI:10.1016/j.mcat.2017.12.002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）的研究被评论人指出数据问题。该研究由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Ruina Shi , Meijiao Ren , Haixia Li , Jinxian Zhao , Shusen Liu , Zhong Li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Jun Ren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（通讯作者，实验室副主任）共同完成，通讯单位为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太原理工大学省部共建煤基能源清洁高效利用国家重点实验室。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597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45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这张图片的质量很差，但图案看起来一模一样。作者可以分享一下数据吗？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540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65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5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https://pubpeer.com/publications/8B43741464436E4F3E7FE2C4633CFB#0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62125" cy="17698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72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太原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太原理工大学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6&amp;sn=03fa5ac0ed4c87ba6e55fe65ea822b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712472120798413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