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35952"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53604"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20814"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78428"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