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山西医科大学第一医院徐钧的论文被撤稿，因研究方法和结果存在科学缺陷及不一致</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R2</w:t>
      </w:r>
      <w:hyperlink r:id="rId5" w:history="1">
        <w:bookmarkStart w:id="0" w:name="js_name"/>
        <w:r>
          <w:rPr>
            <w:rStyle w:val="a"/>
            <w:rFonts w:ascii="Times New Roman" w:eastAsia="Times New Roman" w:hAnsi="Times New Roman" w:cs="Times New Roman"/>
            <w:spacing w:val="8"/>
            <w:sz w:val="23"/>
            <w:szCs w:val="23"/>
          </w:rPr>
          <w:t>Reviewer 2</w:t>
        </w:r>
      </w:hyperlink>
      <w:bookmarkEnd w:id="0"/>
      <w:r>
        <w:rPr>
          <w:rStyle w:val="richmediametalistem"/>
          <w:rFonts w:ascii="Times New Roman" w:eastAsia="Times New Roman" w:hAnsi="Times New Roman" w:cs="Times New Roman"/>
          <w:color w:val="A5A5A5"/>
          <w:spacing w:val="8"/>
          <w:sz w:val="23"/>
          <w:szCs w:val="23"/>
        </w:rPr>
        <w:t>2025-03-28 14:17:53</w:t>
      </w:r>
      <w:r>
        <w:rPr>
          <w:rStyle w:val="richmediametalistem"/>
          <w:rFonts w:ascii="PMingLiU" w:eastAsia="PMingLiU" w:hAnsi="PMingLiU" w:cs="PMingLiU"/>
          <w:color w:val="A5A5A5"/>
          <w:spacing w:val="8"/>
          <w:sz w:val="23"/>
          <w:szCs w:val="23"/>
        </w:rPr>
        <w:t>浙江</w:t>
      </w:r>
    </w:p>
    <w:p>
      <w:pPr>
        <w:spacing w:before="0" w:after="0"/>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773609" cy="773609"/>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4042530" name=""/>
                    <pic:cNvPicPr>
                      <a:picLocks noChangeAspect="1"/>
                    </pic:cNvPicPr>
                  </pic:nvPicPr>
                  <pic:blipFill>
                    <a:blip xmlns:r="http://schemas.openxmlformats.org/officeDocument/2006/relationships" r:embed="rId6"/>
                    <a:stretch>
                      <a:fillRect/>
                    </a:stretch>
                  </pic:blipFill>
                  <pic:spPr>
                    <a:xfrm>
                      <a:off x="0" y="0"/>
                      <a:ext cx="773609" cy="77360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84" w:lineRule="atLeast"/>
        <w:ind w:left="450" w:right="300"/>
        <w:jc w:val="both"/>
        <w:rPr>
          <w:rStyle w:val="any"/>
          <w:rFonts w:ascii="Times New Roman" w:eastAsia="Times New Roman" w:hAnsi="Times New Roman" w:cs="Times New Roman"/>
          <w:spacing w:val="9"/>
        </w:rPr>
      </w:pPr>
      <w:r>
        <w:rPr>
          <w:rStyle w:val="any"/>
          <w:rFonts w:ascii="PMingLiU" w:eastAsia="PMingLiU" w:hAnsi="PMingLiU" w:cs="PMingLiU"/>
          <w:spacing w:val="9"/>
        </w:rPr>
        <w:t>点击蓝字关注我们</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p>
    <w:p>
      <w:pP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shd w:val="clear" w:color="auto" w:fill="CB591B"/>
        </w:rPr>
        <w:drawing>
          <wp:inline>
            <wp:extent cx="951328" cy="95185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1547785"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36" w:lineRule="atLeast"/>
        <w:ind w:left="300" w:right="300"/>
        <w:jc w:val="both"/>
        <w:rPr>
          <w:rStyle w:val="any"/>
          <w:rFonts w:ascii="Times New Roman" w:eastAsia="Times New Roman" w:hAnsi="Times New Roman" w:cs="Times New Roman"/>
          <w:color w:val="C84D0C"/>
          <w:spacing w:val="9"/>
          <w:sz w:val="21"/>
          <w:szCs w:val="21"/>
        </w:rPr>
      </w:pPr>
      <w:r>
        <w:rPr>
          <w:rStyle w:val="any"/>
          <w:rFonts w:ascii="PMingLiU" w:eastAsia="PMingLiU" w:hAnsi="PMingLiU" w:cs="PMingLiU"/>
          <w:b/>
          <w:bCs/>
          <w:color w:val="C84D0C"/>
          <w:spacing w:val="9"/>
          <w:sz w:val="21"/>
          <w:szCs w:val="21"/>
        </w:rPr>
        <w:t>论文信息</w:t>
      </w:r>
    </w:p>
    <w:p>
      <w:pPr>
        <w:pStyle w:val="p"/>
        <w:pBdr>
          <w:top w:val="none" w:sz="0" w:space="0" w:color="auto"/>
          <w:left w:val="none" w:sz="0" w:space="0" w:color="auto"/>
          <w:bottom w:val="none" w:sz="0" w:space="0" w:color="auto"/>
          <w:right w:val="none" w:sz="0" w:space="0" w:color="auto"/>
        </w:pBdr>
        <w:spacing w:before="0" w:after="15" w:line="378" w:lineRule="atLeast"/>
        <w:ind w:left="315" w:right="315"/>
        <w:rPr>
          <w:rStyle w:val="any"/>
          <w:rFonts w:ascii="Times New Roman" w:eastAsia="Times New Roman" w:hAnsi="Times New Roman" w:cs="Times New Roman"/>
          <w:spacing w:val="9"/>
          <w:sz w:val="21"/>
          <w:szCs w:val="21"/>
        </w:rPr>
      </w:pPr>
    </w:p>
    <w:p>
      <w:pPr>
        <w:pStyle w:val="p"/>
        <w:pBdr>
          <w:top w:val="none" w:sz="0" w:space="0" w:color="auto"/>
          <w:left w:val="none" w:sz="0" w:space="0" w:color="auto"/>
          <w:bottom w:val="none" w:sz="0" w:space="0" w:color="auto"/>
          <w:right w:val="none" w:sz="0" w:space="0" w:color="auto"/>
        </w:pBdr>
        <w:spacing w:before="0" w:after="0" w:line="378" w:lineRule="atLeast"/>
        <w:ind w:left="315" w:right="315"/>
        <w:rPr>
          <w:rStyle w:val="any"/>
          <w:rFonts w:ascii="Times New Roman" w:eastAsia="Times New Roman" w:hAnsi="Times New Roman" w:cs="Times New Roman"/>
          <w:spacing w:val="9"/>
          <w:sz w:val="21"/>
          <w:szCs w:val="21"/>
        </w:rPr>
      </w:pPr>
      <w:r>
        <w:rPr>
          <w:rStyle w:val="any"/>
          <w:rFonts w:ascii="Times New Roman" w:eastAsia="Times New Roman" w:hAnsi="Times New Roman" w:cs="Times New Roman"/>
          <w:spacing w:val="9"/>
          <w:sz w:val="21"/>
          <w:szCs w:val="21"/>
        </w:rPr>
        <w:t>2023</w:t>
      </w:r>
      <w:r>
        <w:rPr>
          <w:rStyle w:val="any"/>
          <w:rFonts w:ascii="PMingLiU" w:eastAsia="PMingLiU" w:hAnsi="PMingLiU" w:cs="PMingLiU"/>
          <w:spacing w:val="9"/>
          <w:sz w:val="21"/>
          <w:szCs w:val="21"/>
        </w:rPr>
        <w:t>年</w:t>
      </w:r>
      <w:r>
        <w:rPr>
          <w:rStyle w:val="any"/>
          <w:rFonts w:ascii="Times New Roman" w:eastAsia="Times New Roman" w:hAnsi="Times New Roman" w:cs="Times New Roman"/>
          <w:spacing w:val="9"/>
          <w:sz w:val="21"/>
          <w:szCs w:val="21"/>
        </w:rPr>
        <w:t>1</w:t>
      </w:r>
      <w:r>
        <w:rPr>
          <w:rStyle w:val="any"/>
          <w:rFonts w:ascii="PMingLiU" w:eastAsia="PMingLiU" w:hAnsi="PMingLiU" w:cs="PMingLiU"/>
          <w:spacing w:val="9"/>
          <w:sz w:val="21"/>
          <w:szCs w:val="21"/>
        </w:rPr>
        <w:t>月</w:t>
      </w:r>
      <w:r>
        <w:rPr>
          <w:rStyle w:val="any"/>
          <w:rFonts w:ascii="Times New Roman" w:eastAsia="Times New Roman" w:hAnsi="Times New Roman" w:cs="Times New Roman"/>
          <w:spacing w:val="9"/>
          <w:sz w:val="21"/>
          <w:szCs w:val="21"/>
        </w:rPr>
        <w:t>16</w:t>
      </w:r>
      <w:r>
        <w:rPr>
          <w:rStyle w:val="any"/>
          <w:rFonts w:ascii="PMingLiU" w:eastAsia="PMingLiU" w:hAnsi="PMingLiU" w:cs="PMingLiU"/>
          <w:spacing w:val="9"/>
          <w:sz w:val="21"/>
          <w:szCs w:val="21"/>
        </w:rPr>
        <w:t>日，</w:t>
      </w:r>
      <w:r>
        <w:rPr>
          <w:rStyle w:val="any"/>
          <w:rFonts w:ascii="PMingLiU" w:eastAsia="PMingLiU" w:hAnsi="PMingLiU" w:cs="PMingLiU"/>
          <w:spacing w:val="9"/>
          <w:sz w:val="21"/>
          <w:szCs w:val="21"/>
        </w:rPr>
        <w:t>山西医科大学第一医院的</w:t>
      </w:r>
      <w:r>
        <w:rPr>
          <w:rStyle w:val="any"/>
          <w:rFonts w:ascii="Times New Roman" w:eastAsia="Times New Roman" w:hAnsi="Times New Roman" w:cs="Times New Roman"/>
          <w:color w:val="C84D0C"/>
          <w:spacing w:val="9"/>
          <w:sz w:val="21"/>
          <w:szCs w:val="21"/>
        </w:rPr>
        <w:t>Yanbin Meng</w:t>
      </w:r>
      <w:r>
        <w:rPr>
          <w:rStyle w:val="any"/>
          <w:rFonts w:ascii="PMingLiU" w:eastAsia="PMingLiU" w:hAnsi="PMingLiU" w:cs="PMingLiU"/>
          <w:color w:val="C84D0C"/>
          <w:spacing w:val="9"/>
          <w:sz w:val="21"/>
          <w:szCs w:val="21"/>
        </w:rPr>
        <w:t>（第一作者）</w:t>
      </w:r>
      <w:r>
        <w:rPr>
          <w:rStyle w:val="any"/>
          <w:rFonts w:ascii="Times New Roman" w:eastAsia="Times New Roman" w:hAnsi="Times New Roman" w:cs="Times New Roman"/>
          <w:color w:val="C84D0C"/>
          <w:spacing w:val="9"/>
          <w:sz w:val="21"/>
          <w:szCs w:val="21"/>
        </w:rPr>
        <w:t> </w:t>
      </w:r>
      <w:r>
        <w:rPr>
          <w:rStyle w:val="any"/>
          <w:rFonts w:ascii="Times New Roman" w:eastAsia="Times New Roman" w:hAnsi="Times New Roman" w:cs="Times New Roman"/>
          <w:color w:val="000000"/>
          <w:spacing w:val="9"/>
          <w:sz w:val="21"/>
          <w:szCs w:val="21"/>
        </w:rPr>
        <w:t>&amp; </w:t>
      </w:r>
      <w:r>
        <w:rPr>
          <w:rStyle w:val="any"/>
          <w:rFonts w:ascii="PingFang-SC-Regular" w:eastAsia="PingFang-SC-Regular" w:hAnsi="PingFang-SC-Regular" w:cs="PingFang-SC-Regular"/>
          <w:b w:val="0"/>
          <w:bCs w:val="0"/>
          <w:i w:val="0"/>
          <w:iCs w:val="0"/>
          <w:caps w:val="0"/>
          <w:color w:val="C84D0C"/>
          <w:spacing w:val="9"/>
          <w:sz w:val="21"/>
          <w:szCs w:val="21"/>
          <w:shd w:val="clear" w:color="auto" w:fill="FDFDFE"/>
        </w:rPr>
        <w:t>Jun Xu（通讯作者 音译 </w:t>
      </w:r>
      <w:r>
        <w:rPr>
          <w:rStyle w:val="any"/>
          <w:rFonts w:ascii="PingFang-SC-Regular" w:eastAsia="PingFang-SC-Regular" w:hAnsi="PingFang-SC-Regular" w:cs="PingFang-SC-Regular"/>
          <w:b w:val="0"/>
          <w:bCs w:val="0"/>
          <w:i w:val="0"/>
          <w:iCs w:val="0"/>
          <w:caps w:val="0"/>
          <w:color w:val="C84D0C"/>
          <w:spacing w:val="0"/>
          <w:sz w:val="21"/>
          <w:szCs w:val="21"/>
          <w:shd w:val="clear" w:color="auto" w:fill="FDFDFE"/>
        </w:rPr>
        <w:t>徐钧）</w:t>
      </w:r>
      <w:r>
        <w:rPr>
          <w:rStyle w:val="any"/>
          <w:rFonts w:ascii="PingFang-SC-Regular" w:eastAsia="PingFang-SC-Regular" w:hAnsi="PingFang-SC-Regular" w:cs="PingFang-SC-Regular"/>
          <w:b w:val="0"/>
          <w:bCs w:val="0"/>
          <w:i w:val="0"/>
          <w:iCs w:val="0"/>
          <w:caps w:val="0"/>
          <w:color w:val="06071F"/>
          <w:spacing w:val="0"/>
          <w:sz w:val="21"/>
          <w:szCs w:val="21"/>
          <w:shd w:val="clear" w:color="auto" w:fill="FDFDFE"/>
        </w:rPr>
        <w:t>在</w:t>
      </w:r>
      <w:r>
        <w:rPr>
          <w:rStyle w:val="any"/>
          <w:rFonts w:ascii="Times New Roman" w:eastAsia="Times New Roman" w:hAnsi="Times New Roman" w:cs="Times New Roman"/>
          <w:spacing w:val="9"/>
          <w:sz w:val="21"/>
          <w:szCs w:val="21"/>
        </w:rPr>
        <w:t>Immunity Inflammation and Disease</w:t>
      </w:r>
      <w:r>
        <w:rPr>
          <w:rStyle w:val="any"/>
          <w:rFonts w:ascii="PMingLiU" w:eastAsia="PMingLiU" w:hAnsi="PMingLiU" w:cs="PMingLiU"/>
          <w:spacing w:val="9"/>
          <w:sz w:val="21"/>
          <w:szCs w:val="21"/>
        </w:rPr>
        <w:t>（中科院四区</w:t>
      </w:r>
      <w:r>
        <w:rPr>
          <w:rStyle w:val="any"/>
          <w:rFonts w:ascii="Times New Roman" w:eastAsia="Times New Roman" w:hAnsi="Times New Roman" w:cs="Times New Roman"/>
          <w:spacing w:val="9"/>
          <w:sz w:val="21"/>
          <w:szCs w:val="21"/>
        </w:rPr>
        <w:t xml:space="preserve"> IF=3.1</w:t>
      </w:r>
      <w:r>
        <w:rPr>
          <w:rStyle w:val="any"/>
          <w:rFonts w:ascii="PMingLiU" w:eastAsia="PMingLiU" w:hAnsi="PMingLiU" w:cs="PMingLiU"/>
          <w:spacing w:val="9"/>
          <w:sz w:val="21"/>
          <w:szCs w:val="21"/>
        </w:rPr>
        <w:t>）期刊上在线发表题为</w:t>
      </w:r>
      <w:r>
        <w:rPr>
          <w:rStyle w:val="any"/>
          <w:rFonts w:ascii="Times New Roman" w:eastAsia="Times New Roman" w:hAnsi="Times New Roman" w:cs="Times New Roman"/>
          <w:color w:val="C84D0C"/>
          <w:spacing w:val="9"/>
          <w:sz w:val="21"/>
          <w:szCs w:val="21"/>
        </w:rPr>
        <w:t>"</w:t>
      </w:r>
      <w:r>
        <w:rPr>
          <w:rStyle w:val="any"/>
          <w:rFonts w:ascii="Times New Roman" w:eastAsia="Times New Roman" w:hAnsi="Times New Roman" w:cs="Times New Roman"/>
          <w:color w:val="C84D0C"/>
          <w:spacing w:val="9"/>
          <w:sz w:val="21"/>
          <w:szCs w:val="21"/>
        </w:rPr>
        <w:t>lncRNA NEAT1/miR-495-3p regulates angiogenesis in burn sepsis through the TGF-β1 and SMAD signaling pathways"</w:t>
      </w:r>
      <w:r>
        <w:rPr>
          <w:rStyle w:val="any"/>
          <w:rFonts w:ascii="Times New Roman" w:eastAsia="Times New Roman" w:hAnsi="Times New Roman" w:cs="Times New Roman"/>
          <w:spacing w:val="9"/>
          <w:sz w:val="21"/>
          <w:szCs w:val="21"/>
        </w:rPr>
        <w:t>(</w:t>
      </w:r>
      <w:r>
        <w:rPr>
          <w:rStyle w:val="any"/>
          <w:rFonts w:ascii="Times New Roman" w:eastAsia="Times New Roman" w:hAnsi="Times New Roman" w:cs="Times New Roman"/>
          <w:spacing w:val="9"/>
          <w:sz w:val="21"/>
          <w:szCs w:val="21"/>
        </w:rPr>
        <w:t>lncRNA NEAT1/miR-495-3p</w:t>
      </w:r>
      <w:r>
        <w:rPr>
          <w:rStyle w:val="any"/>
          <w:rFonts w:ascii="PMingLiU" w:eastAsia="PMingLiU" w:hAnsi="PMingLiU" w:cs="PMingLiU"/>
          <w:spacing w:val="9"/>
          <w:sz w:val="21"/>
          <w:szCs w:val="21"/>
        </w:rPr>
        <w:t>通过</w:t>
      </w:r>
      <w:r>
        <w:rPr>
          <w:rStyle w:val="any"/>
          <w:rFonts w:ascii="Times New Roman" w:eastAsia="Times New Roman" w:hAnsi="Times New Roman" w:cs="Times New Roman"/>
          <w:spacing w:val="9"/>
          <w:sz w:val="21"/>
          <w:szCs w:val="21"/>
        </w:rPr>
        <w:t>TGF-β1</w:t>
      </w:r>
      <w:r>
        <w:rPr>
          <w:rStyle w:val="any"/>
          <w:rFonts w:ascii="PMingLiU" w:eastAsia="PMingLiU" w:hAnsi="PMingLiU" w:cs="PMingLiU"/>
          <w:spacing w:val="9"/>
          <w:sz w:val="21"/>
          <w:szCs w:val="21"/>
        </w:rPr>
        <w:t>和</w:t>
      </w:r>
      <w:r>
        <w:rPr>
          <w:rStyle w:val="any"/>
          <w:rFonts w:ascii="Times New Roman" w:eastAsia="Times New Roman" w:hAnsi="Times New Roman" w:cs="Times New Roman"/>
          <w:spacing w:val="9"/>
          <w:sz w:val="21"/>
          <w:szCs w:val="21"/>
        </w:rPr>
        <w:t>SMAD</w:t>
      </w:r>
      <w:r>
        <w:rPr>
          <w:rStyle w:val="any"/>
          <w:rFonts w:ascii="PMingLiU" w:eastAsia="PMingLiU" w:hAnsi="PMingLiU" w:cs="PMingLiU"/>
          <w:spacing w:val="9"/>
          <w:sz w:val="21"/>
          <w:szCs w:val="21"/>
        </w:rPr>
        <w:t>信号通路调节烧伤败血症的血管生成</w:t>
      </w:r>
      <w:r>
        <w:rPr>
          <w:rStyle w:val="any"/>
          <w:rFonts w:ascii="Times New Roman" w:eastAsia="Times New Roman" w:hAnsi="Times New Roman" w:cs="Times New Roman"/>
          <w:spacing w:val="9"/>
          <w:sz w:val="21"/>
          <w:szCs w:val="21"/>
        </w:rPr>
        <w:t>)</w:t>
      </w:r>
      <w:r>
        <w:rPr>
          <w:rStyle w:val="any"/>
          <w:rFonts w:ascii="PMingLiU" w:eastAsia="PMingLiU" w:hAnsi="PMingLiU" w:cs="PMingLiU"/>
          <w:spacing w:val="9"/>
          <w:sz w:val="21"/>
          <w:szCs w:val="21"/>
        </w:rPr>
        <w:t>论文。</w:t>
      </w:r>
    </w:p>
    <w:p>
      <w:pPr>
        <w:pStyle w:val="p"/>
        <w:pBdr>
          <w:top w:val="none" w:sz="0" w:space="0" w:color="auto"/>
          <w:left w:val="none" w:sz="0" w:space="0" w:color="auto"/>
          <w:bottom w:val="none" w:sz="0" w:space="0" w:color="auto"/>
          <w:right w:val="none" w:sz="0" w:space="0" w:color="auto"/>
        </w:pBdr>
        <w:spacing w:before="0" w:after="0" w:line="378" w:lineRule="atLeast"/>
        <w:ind w:left="315" w:right="315"/>
        <w:rPr>
          <w:rStyle w:val="any"/>
          <w:rFonts w:ascii="Times New Roman" w:eastAsia="Times New Roman" w:hAnsi="Times New Roman" w:cs="Times New Roman"/>
          <w:spacing w:val="9"/>
          <w:sz w:val="21"/>
          <w:szCs w:val="21"/>
        </w:rPr>
      </w:pPr>
    </w:p>
    <w:p>
      <w:pPr>
        <w:spacing w:before="0" w:after="0" w:line="378" w:lineRule="atLeast"/>
        <w:ind w:left="315" w:right="315"/>
        <w:jc w:val="center"/>
        <w:rPr>
          <w:rStyle w:val="any"/>
          <w:rFonts w:ascii="Times New Roman" w:eastAsia="Times New Roman" w:hAnsi="Times New Roman" w:cs="Times New Roman"/>
          <w:spacing w:val="9"/>
          <w:sz w:val="21"/>
          <w:szCs w:val="21"/>
        </w:rPr>
      </w:pPr>
      <w:r>
        <w:rPr>
          <w:rStyle w:val="any"/>
          <w:rFonts w:ascii="Times New Roman" w:eastAsia="Times New Roman" w:hAnsi="Times New Roman" w:cs="Times New Roman"/>
          <w:strike w:val="0"/>
          <w:spacing w:val="9"/>
          <w:sz w:val="21"/>
          <w:szCs w:val="21"/>
          <w:u w:val="none"/>
        </w:rPr>
        <w:drawing>
          <wp:inline>
            <wp:extent cx="5486400" cy="4815317"/>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1582495" name=""/>
                    <pic:cNvPicPr>
                      <a:picLocks noChangeAspect="1"/>
                    </pic:cNvPicPr>
                  </pic:nvPicPr>
                  <pic:blipFill>
                    <a:blip xmlns:r="http://schemas.openxmlformats.org/officeDocument/2006/relationships" r:embed="rId8"/>
                    <a:stretch>
                      <a:fillRect/>
                    </a:stretch>
                  </pic:blipFill>
                  <pic:spPr>
                    <a:xfrm>
                      <a:off x="0" y="0"/>
                      <a:ext cx="5486400" cy="4815317"/>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78" w:lineRule="atLeast"/>
        <w:ind w:left="315" w:right="315"/>
        <w:rPr>
          <w:rStyle w:val="any"/>
          <w:rFonts w:ascii="Times New Roman" w:eastAsia="Times New Roman" w:hAnsi="Times New Roman" w:cs="Times New Roman"/>
          <w:spacing w:val="9"/>
          <w:sz w:val="21"/>
          <w:szCs w:val="21"/>
        </w:rPr>
      </w:pPr>
    </w:p>
    <w:p>
      <w:pPr>
        <w:spacing w:before="0" w:after="0" w:line="378" w:lineRule="atLeast"/>
        <w:ind w:left="315" w:right="315"/>
        <w:jc w:val="center"/>
        <w:rPr>
          <w:rStyle w:val="any"/>
          <w:rFonts w:ascii="Times New Roman" w:eastAsia="Times New Roman" w:hAnsi="Times New Roman" w:cs="Times New Roman"/>
          <w:spacing w:val="9"/>
          <w:sz w:val="21"/>
          <w:szCs w:val="21"/>
        </w:rPr>
      </w:pPr>
      <w:r>
        <w:rPr>
          <w:rStyle w:val="any"/>
          <w:rFonts w:ascii="Times New Roman" w:eastAsia="Times New Roman" w:hAnsi="Times New Roman" w:cs="Times New Roman"/>
          <w:strike w:val="0"/>
          <w:spacing w:val="9"/>
          <w:sz w:val="21"/>
          <w:szCs w:val="21"/>
          <w:u w:val="none"/>
        </w:rPr>
        <w:drawing>
          <wp:inline>
            <wp:extent cx="5486400" cy="4917186"/>
            <wp:docPr id="100004" name="" descr="山西医科大学第一医院_360百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3059907" name=""/>
                    <pic:cNvPicPr>
                      <a:picLocks noChangeAspect="1"/>
                    </pic:cNvPicPr>
                  </pic:nvPicPr>
                  <pic:blipFill>
                    <a:blip xmlns:r="http://schemas.openxmlformats.org/officeDocument/2006/relationships" r:embed="rId9"/>
                    <a:stretch>
                      <a:fillRect/>
                    </a:stretch>
                  </pic:blipFill>
                  <pic:spPr>
                    <a:xfrm>
                      <a:off x="0" y="0"/>
                      <a:ext cx="5486400" cy="491718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78" w:lineRule="atLeast"/>
        <w:ind w:left="315" w:right="315"/>
        <w:rPr>
          <w:rStyle w:val="any"/>
          <w:rFonts w:ascii="Times New Roman" w:eastAsia="Times New Roman" w:hAnsi="Times New Roman" w:cs="Times New Roman"/>
          <w:spacing w:val="9"/>
          <w:sz w:val="21"/>
          <w:szCs w:val="21"/>
        </w:rPr>
      </w:pPr>
      <w:r>
        <w:rPr>
          <w:rStyle w:val="any"/>
          <w:rFonts w:ascii="Times New Roman" w:eastAsia="Times New Roman" w:hAnsi="Times New Roman" w:cs="Times New Roman"/>
          <w:spacing w:val="9"/>
          <w:sz w:val="21"/>
          <w:szCs w:val="21"/>
        </w:rPr>
        <w:t> </w:t>
      </w:r>
    </w:p>
    <w:p>
      <w:pPr>
        <w:shd w:val="clear" w:color="auto" w:fill="FFFFFF"/>
        <w:spacing w:before="0" w:after="0" w:line="378" w:lineRule="atLeast"/>
        <w:ind w:left="330" w:right="330"/>
        <w:jc w:val="center"/>
        <w:rPr>
          <w:rStyle w:val="any"/>
          <w:rFonts w:ascii="Microsoft YaHei UI" w:eastAsia="Microsoft YaHei UI" w:hAnsi="Microsoft YaHei UI" w:cs="Microsoft YaHei UI"/>
          <w:color w:val="3E3E3E"/>
          <w:spacing w:val="8"/>
          <w:sz w:val="21"/>
          <w:szCs w:val="21"/>
        </w:rPr>
      </w:pPr>
      <w:r>
        <w:rPr>
          <w:rStyle w:val="any"/>
          <w:rFonts w:ascii="Microsoft YaHei UI" w:eastAsia="Microsoft YaHei UI" w:hAnsi="Microsoft YaHei UI" w:cs="Microsoft YaHei UI"/>
          <w:strike w:val="0"/>
          <w:color w:val="3E3E3E"/>
          <w:spacing w:val="8"/>
          <w:sz w:val="21"/>
          <w:szCs w:val="21"/>
          <w:u w:val="none"/>
          <w:shd w:val="clear" w:color="auto" w:fill="CB591B"/>
        </w:rPr>
        <w:drawing>
          <wp:inline>
            <wp:extent cx="951328" cy="951855"/>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330264"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150" w:line="378" w:lineRule="atLeast"/>
        <w:ind w:left="330" w:right="330"/>
        <w:jc w:val="both"/>
        <w:rPr>
          <w:rStyle w:val="any"/>
          <w:rFonts w:ascii="Microsoft YaHei UI" w:eastAsia="Microsoft YaHei UI" w:hAnsi="Microsoft YaHei UI" w:cs="Microsoft YaHei UI"/>
          <w:color w:val="C84D0C"/>
          <w:spacing w:val="8"/>
          <w:sz w:val="21"/>
          <w:szCs w:val="21"/>
        </w:rPr>
      </w:pPr>
      <w:r>
        <w:rPr>
          <w:rStyle w:val="any"/>
          <w:rFonts w:ascii="Microsoft YaHei UI" w:eastAsia="Microsoft YaHei UI" w:hAnsi="Microsoft YaHei UI" w:cs="Microsoft YaHei UI"/>
          <w:b/>
          <w:bCs/>
          <w:color w:val="C84D0C"/>
          <w:spacing w:val="8"/>
          <w:sz w:val="21"/>
          <w:szCs w:val="21"/>
        </w:rPr>
        <w:t>质疑信息</w:t>
      </w:r>
    </w:p>
    <w:p>
      <w:pPr>
        <w:pStyle w:val="p"/>
        <w:pBdr>
          <w:top w:val="none" w:sz="0" w:space="0" w:color="auto"/>
          <w:left w:val="none" w:sz="0" w:space="0" w:color="auto"/>
          <w:bottom w:val="none" w:sz="0" w:space="0" w:color="auto"/>
          <w:right w:val="none" w:sz="0" w:space="0" w:color="auto"/>
        </w:pBdr>
        <w:shd w:val="clear" w:color="auto" w:fill="FFFFFF"/>
        <w:spacing w:before="0" w:after="0" w:line="378" w:lineRule="atLeast"/>
        <w:ind w:left="330" w:right="330"/>
        <w:rPr>
          <w:rStyle w:val="any"/>
          <w:rFonts w:ascii="Microsoft YaHei UI" w:eastAsia="Microsoft YaHei UI" w:hAnsi="Microsoft YaHei UI" w:cs="Microsoft YaHei UI"/>
          <w:color w:val="3E3E3E"/>
          <w:spacing w:val="9"/>
          <w:sz w:val="21"/>
          <w:szCs w:val="21"/>
        </w:rPr>
      </w:pPr>
    </w:p>
    <w:p>
      <w:pPr>
        <w:pStyle w:val="p"/>
        <w:widowControl/>
        <w:numPr>
          <w:ilvl w:val="0"/>
          <w:numId w:val="1"/>
        </w:numPr>
        <w:pBdr>
          <w:top w:val="none" w:sz="0" w:space="0" w:color="auto"/>
          <w:left w:val="none" w:sz="0" w:space="0" w:color="auto"/>
          <w:bottom w:val="none" w:sz="0" w:space="0" w:color="auto"/>
          <w:right w:val="none" w:sz="0" w:space="0" w:color="auto"/>
        </w:pBdr>
        <w:shd w:val="clear" w:color="auto" w:fill="FFFFFF"/>
        <w:spacing w:before="0" w:after="0" w:line="378" w:lineRule="atLeast"/>
        <w:ind w:left="597" w:right="345" w:hanging="196"/>
        <w:jc w:val="both"/>
        <w:rPr>
          <w:rStyle w:val="any"/>
          <w:rFonts w:ascii="Microsoft YaHei UI" w:eastAsia="Microsoft YaHei UI" w:hAnsi="Microsoft YaHei UI" w:cs="Microsoft YaHei UI"/>
          <w:b w:val="0"/>
          <w:bCs w:val="0"/>
          <w:i w:val="0"/>
          <w:iCs w:val="0"/>
          <w:caps w:val="0"/>
          <w:color w:val="3E3E3E"/>
          <w:spacing w:val="9"/>
          <w:sz w:val="21"/>
          <w:szCs w:val="21"/>
        </w:rPr>
      </w:pPr>
      <w:r>
        <w:rPr>
          <w:rStyle w:val="any"/>
          <w:rFonts w:ascii="Microsoft YaHei UI" w:eastAsia="Microsoft YaHei UI" w:hAnsi="Microsoft YaHei UI" w:cs="Microsoft YaHei UI"/>
          <w:b/>
          <w:bCs/>
          <w:i w:val="0"/>
          <w:iCs w:val="0"/>
          <w:caps w:val="0"/>
          <w:color w:val="3E3E3E"/>
          <w:spacing w:val="9"/>
          <w:sz w:val="21"/>
          <w:szCs w:val="21"/>
        </w:rPr>
        <w:t>图4F与早期无关论文不同标注的WB条带重叠，存在图像操纵。</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1"/>
          <w:szCs w:val="21"/>
        </w:rPr>
        <w:t>[left] Fig 4B from "microRNA-195 Promotes Small Cell Lung Cancer Cell Apoptosis via Inhibiting Rap2C Protein-Dependent MAPK Signal Transduction" (Tong et al 2020).</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1"/>
          <w:szCs w:val="21"/>
        </w:rPr>
        <w:t>[right] Fig 4F.</w:t>
      </w:r>
    </w:p>
    <w:p>
      <w:pPr>
        <w:widowControl/>
        <w:shd w:val="clear" w:color="auto" w:fill="FFFFFF"/>
        <w:spacing w:before="0" w:after="0" w:line="459" w:lineRule="atLeast"/>
        <w:ind w:left="330" w:right="330" w:firstLine="0"/>
        <w:jc w:val="center"/>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strike w:val="0"/>
          <w:color w:val="3E3E3E"/>
          <w:spacing w:val="9"/>
          <w:sz w:val="26"/>
          <w:szCs w:val="26"/>
          <w:u w:val="none"/>
        </w:rPr>
        <w:drawing>
          <wp:inline>
            <wp:extent cx="5486400" cy="5211788"/>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3883307" name=""/>
                    <pic:cNvPicPr>
                      <a:picLocks noChangeAspect="1"/>
                    </pic:cNvPicPr>
                  </pic:nvPicPr>
                  <pic:blipFill>
                    <a:blip xmlns:r="http://schemas.openxmlformats.org/officeDocument/2006/relationships" r:embed="rId10"/>
                    <a:stretch>
                      <a:fillRect/>
                    </a:stretch>
                  </pic:blipFill>
                  <pic:spPr>
                    <a:xfrm>
                      <a:off x="0" y="0"/>
                      <a:ext cx="5486400" cy="5211788"/>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1"/>
          <w:szCs w:val="21"/>
        </w:rPr>
        <w:t>Bands are surprisingly similar after a 180-deg flip and rescaling.</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widowControl/>
        <w:shd w:val="clear" w:color="auto" w:fill="FFFFFF"/>
        <w:spacing w:before="0" w:after="0" w:line="459" w:lineRule="atLeast"/>
        <w:ind w:left="330" w:right="330" w:firstLine="0"/>
        <w:jc w:val="center"/>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strike w:val="0"/>
          <w:color w:val="3E3E3E"/>
          <w:spacing w:val="9"/>
          <w:sz w:val="26"/>
          <w:szCs w:val="26"/>
          <w:u w:val="none"/>
        </w:rPr>
        <w:drawing>
          <wp:inline>
            <wp:extent cx="5114925" cy="971550"/>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3754600" name=""/>
                    <pic:cNvPicPr>
                      <a:picLocks noChangeAspect="1"/>
                    </pic:cNvPicPr>
                  </pic:nvPicPr>
                  <pic:blipFill>
                    <a:blip xmlns:r="http://schemas.openxmlformats.org/officeDocument/2006/relationships" r:embed="rId11"/>
                    <a:stretch>
                      <a:fillRect/>
                    </a:stretch>
                  </pic:blipFill>
                  <pic:spPr>
                    <a:xfrm>
                      <a:off x="0" y="0"/>
                      <a:ext cx="5114925" cy="971550"/>
                    </a:xfrm>
                    <a:prstGeom prst="rect">
                      <a:avLst/>
                    </a:prstGeom>
                  </pic:spPr>
                </pic:pic>
              </a:graphicData>
            </a:graphic>
          </wp:inline>
        </w:drawing>
      </w:r>
    </w:p>
    <w:p>
      <w:pPr>
        <w:widowControl/>
        <w:shd w:val="clear" w:color="auto" w:fill="FFFFFF"/>
        <w:spacing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8"/>
          <w:sz w:val="26"/>
          <w:szCs w:val="26"/>
        </w:rPr>
      </w:pPr>
    </w:p>
    <w:p>
      <w:pPr>
        <w:shd w:val="clear" w:color="auto" w:fill="FFFFFF"/>
        <w:spacing w:before="0" w:after="0" w:line="432" w:lineRule="atLeast"/>
        <w:ind w:left="390" w:right="390"/>
        <w:jc w:val="center"/>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strike w:val="0"/>
          <w:color w:val="3E3E3E"/>
          <w:spacing w:val="9"/>
          <w:u w:val="none"/>
          <w:shd w:val="clear" w:color="auto" w:fill="CB591B"/>
        </w:rPr>
        <w:drawing>
          <wp:inline>
            <wp:extent cx="951328" cy="951855"/>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855279"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150" w:line="432" w:lineRule="atLeast"/>
        <w:ind w:left="390" w:right="390"/>
        <w:jc w:val="both"/>
        <w:rPr>
          <w:rStyle w:val="any"/>
          <w:rFonts w:ascii="Microsoft YaHei UI" w:eastAsia="Microsoft YaHei UI" w:hAnsi="Microsoft YaHei UI" w:cs="Microsoft YaHei UI"/>
          <w:color w:val="C84D0C"/>
          <w:spacing w:val="9"/>
        </w:rPr>
      </w:pPr>
      <w:r>
        <w:rPr>
          <w:rStyle w:val="any"/>
          <w:rFonts w:ascii="Microsoft YaHei UI" w:eastAsia="Microsoft YaHei UI" w:hAnsi="Microsoft YaHei UI" w:cs="Microsoft YaHei UI"/>
          <w:b/>
          <w:bCs/>
          <w:color w:val="C84D0C"/>
          <w:spacing w:val="9"/>
          <w:sz w:val="21"/>
          <w:szCs w:val="21"/>
        </w:rPr>
        <w:t>撤稿原因</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90" w:right="390"/>
        <w:rPr>
          <w:rStyle w:val="any"/>
          <w:rFonts w:ascii="Microsoft YaHei UI" w:eastAsia="Microsoft YaHei UI" w:hAnsi="Microsoft YaHei UI" w:cs="Microsoft YaHei UI"/>
          <w:color w:val="3E3E3E"/>
          <w:spacing w:val="9"/>
        </w:rPr>
      </w:pPr>
    </w:p>
    <w:p>
      <w:pP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b/>
          <w:bCs/>
          <w:color w:val="C84D0C"/>
          <w:spacing w:val="9"/>
          <w:sz w:val="21"/>
          <w:szCs w:val="21"/>
        </w:rPr>
        <w:t>本文已</w:t>
      </w:r>
      <w:r>
        <w:rPr>
          <w:rStyle w:val="any"/>
          <w:rFonts w:ascii="Microsoft YaHei UI" w:eastAsia="Microsoft YaHei UI" w:hAnsi="Microsoft YaHei UI" w:cs="Microsoft YaHei UI"/>
          <w:b/>
          <w:bCs/>
          <w:color w:val="C84D0C"/>
          <w:spacing w:val="9"/>
          <w:sz w:val="21"/>
          <w:szCs w:val="21"/>
        </w:rPr>
        <w:t>于2025年3月21日</w:t>
      </w:r>
      <w:r>
        <w:rPr>
          <w:rStyle w:val="any"/>
          <w:rFonts w:ascii="Microsoft YaHei UI" w:eastAsia="Microsoft YaHei UI" w:hAnsi="Microsoft YaHei UI" w:cs="Microsoft YaHei UI"/>
          <w:b/>
          <w:bCs/>
          <w:color w:val="C84D0C"/>
          <w:spacing w:val="9"/>
          <w:sz w:val="21"/>
          <w:szCs w:val="21"/>
        </w:rPr>
        <w:t>被撤回：</w:t>
      </w:r>
      <w:r>
        <w:rPr>
          <w:rStyle w:val="any"/>
          <w:rFonts w:ascii="Microsoft YaHei UI" w:eastAsia="Microsoft YaHei UI" w:hAnsi="Microsoft YaHei UI" w:cs="Microsoft YaHei UI"/>
          <w:b w:val="0"/>
          <w:bCs w:val="0"/>
          <w:i w:val="0"/>
          <w:iCs w:val="0"/>
          <w:color w:val="3E3E3E"/>
          <w:spacing w:val="9"/>
          <w:sz w:val="21"/>
          <w:szCs w:val="21"/>
        </w:rPr>
        <w:t>上述文章于2023年1月16日在线发表于Wiley Online Library（wileyonlinelibrary.com），现经该刊主编Marc Veldhoen以及John Wiley &amp; Sons Ltd.同意已被撤回。此次撤回的原因是文章的研究方法和结果中发现了科学缺陷和不一致之处。尽管作者提供了一些支持性数据，但这些数据并不充分，问题依然存在。编辑们对本研究中呈现的结果和结论失去了信心。作者不同意此次撤回。</w:t>
      </w: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432" w:lineRule="atLeast"/>
        <w:ind w:left="405" w:right="40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432" w:lineRule="atLeast"/>
        <w:ind w:left="405" w:right="405"/>
        <w:rPr>
          <w:rStyle w:val="any"/>
          <w:rFonts w:ascii="Microsoft YaHei UI" w:eastAsia="Microsoft YaHei UI" w:hAnsi="Microsoft YaHei UI" w:cs="Microsoft YaHei UI"/>
          <w:color w:val="3E3E3E"/>
          <w:spacing w:val="9"/>
        </w:rPr>
      </w:pPr>
    </w:p>
    <w:p>
      <w:pPr>
        <w:spacing w:before="0" w:after="0" w:line="378" w:lineRule="atLeast"/>
        <w:ind w:left="315" w:right="315"/>
        <w:jc w:val="center"/>
        <w:rPr>
          <w:rStyle w:val="any"/>
          <w:rFonts w:ascii="Times New Roman" w:eastAsia="Times New Roman" w:hAnsi="Times New Roman" w:cs="Times New Roman"/>
          <w:color w:val="3E3E3E"/>
          <w:spacing w:val="9"/>
          <w:sz w:val="21"/>
          <w:szCs w:val="21"/>
        </w:rPr>
      </w:pPr>
      <w:r>
        <w:rPr>
          <w:rStyle w:val="any"/>
          <w:rFonts w:ascii="Times New Roman" w:eastAsia="Times New Roman" w:hAnsi="Times New Roman" w:cs="Times New Roman"/>
          <w:strike w:val="0"/>
          <w:color w:val="3E3E3E"/>
          <w:spacing w:val="9"/>
          <w:sz w:val="21"/>
          <w:szCs w:val="21"/>
          <w:u w:val="none"/>
          <w:shd w:val="clear" w:color="auto" w:fill="CB591B"/>
        </w:rPr>
        <w:drawing>
          <wp:inline>
            <wp:extent cx="951328" cy="951855"/>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1376397"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78" w:lineRule="atLeast"/>
        <w:ind w:left="315" w:right="315"/>
        <w:jc w:val="both"/>
        <w:rPr>
          <w:rStyle w:val="any"/>
          <w:rFonts w:ascii="Times New Roman" w:eastAsia="Times New Roman" w:hAnsi="Times New Roman" w:cs="Times New Roman"/>
          <w:color w:val="C84D0C"/>
          <w:spacing w:val="9"/>
          <w:sz w:val="21"/>
          <w:szCs w:val="21"/>
        </w:rPr>
      </w:pPr>
      <w:r>
        <w:rPr>
          <w:rStyle w:val="any"/>
          <w:rFonts w:ascii="PMingLiU" w:eastAsia="PMingLiU" w:hAnsi="PMingLiU" w:cs="PMingLiU"/>
          <w:b/>
          <w:bCs/>
          <w:color w:val="C84D0C"/>
          <w:spacing w:val="9"/>
          <w:sz w:val="21"/>
          <w:szCs w:val="21"/>
        </w:rPr>
        <w:t>参考信息</w:t>
      </w:r>
    </w:p>
    <w:p>
      <w:pPr>
        <w:spacing w:before="0" w:after="0" w:line="432" w:lineRule="atLeast"/>
        <w:ind w:left="300" w:right="300" w:firstLine="0"/>
        <w:rPr>
          <w:rStyle w:val="any"/>
          <w:rFonts w:ascii="Times New Roman" w:eastAsia="Times New Roman" w:hAnsi="Times New Roman" w:cs="Times New Roman"/>
          <w:spacing w:val="9"/>
        </w:rPr>
      </w:pPr>
      <w:r>
        <w:rPr>
          <w:rStyle w:val="any"/>
          <w:rFonts w:ascii="Times New Roman" w:eastAsia="Times New Roman" w:hAnsi="Times New Roman" w:cs="Times New Roman"/>
          <w:color w:val="3E3E3E"/>
          <w:spacing w:val="9"/>
          <w:sz w:val="20"/>
          <w:szCs w:val="20"/>
        </w:rPr>
        <w:t>https://pubpeer.com/publications/667E5AA5FBE1435497CAD8F2CEF935</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spacing w:val="9"/>
        </w:rPr>
      </w:pPr>
      <w:r>
        <w:rPr>
          <w:rStyle w:val="any"/>
          <w:rFonts w:ascii="Times New Roman" w:eastAsia="Times New Roman" w:hAnsi="Times New Roman" w:cs="Times New Roman"/>
          <w:color w:val="3E3E3E"/>
          <w:spacing w:val="9"/>
          <w:sz w:val="20"/>
          <w:szCs w:val="20"/>
        </w:rPr>
        <w:t>https://pubmed.ncbi.nlm.nih.gov/36705405/</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spacing w:val="9"/>
        </w:rPr>
      </w:pPr>
      <w:r>
        <w:rPr>
          <w:rStyle w:val="any"/>
          <w:rFonts w:ascii="Times New Roman" w:eastAsia="Times New Roman" w:hAnsi="Times New Roman" w:cs="Times New Roman"/>
          <w:color w:val="3E3E3E"/>
          <w:spacing w:val="9"/>
          <w:sz w:val="20"/>
          <w:szCs w:val="20"/>
        </w:rPr>
        <w:t>https://onlinelibrary.wiley.com/doi/10.1002/iid3.70177</w:t>
      </w: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wMjY4ODQ5Mw==&amp;mid=2247496883&amp;idx=1&amp;sn=66fa56c8a56f77d8fd5952e18197476f"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emf" /><Relationship Id="rId8" Type="http://schemas.openxmlformats.org/officeDocument/2006/relationships/image" Target="media/image3.pn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