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贵州医科大学附属医院的文章被撤回，主要原因是不同文章间涉嫌图像的重复使用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48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长链非编码RNA（lncRNA）是癌症发展中至关重要的潜在生物标志物。研究表明，lncRNA与膀胱癌（BLCA）的发生发展密切相关。本研究旨在探讨lncRNA MAFG-AS1在BLCA肿瘤发生发展中的作用。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11 月 25 日，贵州医科大学附属医院的Li Dengbao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Pathobiology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MAFG-AS1 Promotes the Progression of Bladder Cancer by Targeting the miR-143-3p/COX-2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MAFG-AS1/miR-143-3p/COX-2 轴有助于 BLCA 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77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发表后，有人对图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中的图像提出了质疑。具体而言，图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“siNC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侵袭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与之前由不同作者组发表的文章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“LN229, LINC01094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部分重叠。此外，图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2d“siMAFG-AS1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迁移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入侵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LN229, LINC01094”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已联系作者并要求其发表评论。作者表示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无法获取原始数据。由于该问题无法得到令人满意的解释或解决，该文章将被撤回。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作者不同意撤回。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 Zhu B, Liu W, Liu H, Xu Q, Xu W. LINC01094 down-regulates miR-330-3p and enhances the expression of MSI1 to promote the progression of glioma. Cancer Manag Res. 2020 Jul 28;12: 6511–21; DOI: 10.2147/CMAR.S254630.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https://karger.com/pat/article/doi/10.1159/000544903/925266/Retraction-Statement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55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86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02&amp;idx=3&amp;sn=873872561d8ccd7e0463b7c4a6c55e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