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又放错了？中国医科大学附属盛京医院神经内科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Feng Juan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（音译：冯绢）团队论文被质疑图像重复。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827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 Combination of Remote Ischemic Perconditioning and Cerebral Ischemic Postconditioning Inhibits Autophagy to Attenuate Plasma HMGB1 and Induce Neuroprotection Against Stroke in Rat</w:t>
      </w:r>
      <w:r>
        <w:rPr>
          <w:rStyle w:val="any"/>
          <w:rFonts w:ascii="PMingLiU" w:eastAsia="PMingLiU" w:hAnsi="PMingLiU" w:cs="PMingLiU"/>
          <w:spacing w:val="8"/>
        </w:rPr>
        <w:t>（远端缺血预处理和脑缺血后处理联合应用抑制自噬减弱血浆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，诱导对大鼠脑卒中的神经保护作用）的论文在《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neuroscience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10.1007/s12031-016-0724-9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28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作者解释：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尊敬的教授，感谢您的评论。我为我的粗心感到非常抱歉。如你所知，在我的实验中有很多组，在不同的组中使用相同的图片是一个很大的错误。我想，也许我们可以把缺血再灌注组的组织放在</w:t>
      </w:r>
      <w:r>
        <w:rPr>
          <w:rStyle w:val="any"/>
          <w:rFonts w:ascii="Times New Roman" w:eastAsia="Times New Roman" w:hAnsi="Times New Roman" w:cs="Times New Roman"/>
          <w:spacing w:val="8"/>
        </w:rPr>
        <w:t>“RIPerC+IPOC+RAP”</w:t>
      </w:r>
      <w:r>
        <w:rPr>
          <w:rStyle w:val="any"/>
          <w:rFonts w:ascii="PMingLiU" w:eastAsia="PMingLiU" w:hAnsi="PMingLiU" w:cs="PMingLiU"/>
          <w:spacing w:val="8"/>
        </w:rPr>
        <w:t>组的瓶子里，反复给它拍照。也可能是我们把同一张图片存到了不同组的文件里。因为时间太久了，我们记不清细节了。我们知道这是一个巨大的错误，因为我们没有仔细检查照片。我们已经审查了我们的原始数据，每组有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只动物，这不会影响结果。我会将原始数据应用到编辑器中。再次感谢您的评论。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40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79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远程缺血性渗透率（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）和缺血后的后调节（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）是缺血性损伤期间的神经保护性良好的方法。本研究在大鼠中建立了一个合并的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）模型，并研究了它将如何调节自噬过程并影响大脑中动脉闭塞大鼠模型（</w:t>
      </w:r>
      <w:r>
        <w:rPr>
          <w:rStyle w:val="any"/>
          <w:rFonts w:ascii="Times New Roman" w:eastAsia="Times New Roman" w:hAnsi="Times New Roman" w:cs="Times New Roman"/>
          <w:spacing w:val="8"/>
        </w:rPr>
        <w:t>MCAO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水平。通过固定和释放左后肢的大鼠用</w:t>
      </w:r>
      <w:r>
        <w:rPr>
          <w:rStyle w:val="any"/>
          <w:rFonts w:ascii="Times New Roman" w:eastAsia="Times New Roman" w:hAnsi="Times New Roman" w:cs="Times New Roman"/>
          <w:spacing w:val="8"/>
        </w:rPr>
        <w:t>RIPERC</w:t>
      </w:r>
      <w:r>
        <w:rPr>
          <w:rStyle w:val="any"/>
          <w:rFonts w:ascii="PMingLiU" w:eastAsia="PMingLiU" w:hAnsi="PMingLiU" w:cs="PMingLiU"/>
          <w:spacing w:val="8"/>
        </w:rPr>
        <w:t>治疗，以实现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个远程缺血再灌注的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个循环，在大脑再灌注前</w:t>
      </w:r>
      <w:r>
        <w:rPr>
          <w:rStyle w:val="any"/>
          <w:rFonts w:ascii="Times New Roman" w:eastAsia="Times New Roman" w:hAnsi="Times New Roman" w:cs="Times New Roman"/>
          <w:spacing w:val="8"/>
        </w:rPr>
        <w:t>40</w:t>
      </w:r>
      <w:r>
        <w:rPr>
          <w:rStyle w:val="any"/>
          <w:rFonts w:ascii="PMingLiU" w:eastAsia="PMingLiU" w:hAnsi="PMingLiU" w:cs="PMingLiU"/>
          <w:spacing w:val="8"/>
        </w:rPr>
        <w:t>分钟，然后通过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治疗</w:t>
      </w:r>
      <w:r>
        <w:rPr>
          <w:rStyle w:val="any"/>
          <w:rFonts w:ascii="Times New Roman" w:eastAsia="Times New Roman" w:hAnsi="Times New Roman" w:cs="Times New Roman"/>
          <w:spacing w:val="8"/>
        </w:rPr>
        <w:t>IPOC</w:t>
      </w:r>
      <w:r>
        <w:rPr>
          <w:rStyle w:val="any"/>
          <w:rFonts w:ascii="PMingLiU" w:eastAsia="PMingLiU" w:hAnsi="PMingLiU" w:cs="PMingLiU"/>
          <w:spacing w:val="8"/>
        </w:rPr>
        <w:t>，通过将脑中中部动脉暴露于</w:t>
      </w:r>
      <w:r>
        <w:rPr>
          <w:rStyle w:val="any"/>
          <w:rFonts w:ascii="Times New Roman" w:eastAsia="Times New Roman" w:hAnsi="Times New Roman" w:cs="Times New Roman"/>
          <w:spacing w:val="8"/>
        </w:rPr>
        <w:t>30 s</w:t>
      </w:r>
      <w:r>
        <w:rPr>
          <w:rStyle w:val="any"/>
          <w:rFonts w:ascii="PMingLiU" w:eastAsia="PMingLiU" w:hAnsi="PMingLiU" w:cs="PMingLiU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spacing w:val="8"/>
        </w:rPr>
        <w:t>/30 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 s scerfusion/30 s c cocclus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个循环中。缺血后</w:t>
      </w:r>
      <w:r>
        <w:rPr>
          <w:rStyle w:val="any"/>
          <w:rFonts w:ascii="Times New Roman" w:eastAsia="Times New Roman" w:hAnsi="Times New Roman" w:cs="Times New Roman"/>
          <w:spacing w:val="8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小时评估梗塞体积，神经缺陷和病理变化。自动噬激活剂雷帕霉素（</w:t>
      </w:r>
      <w:r>
        <w:rPr>
          <w:rStyle w:val="any"/>
          <w:rFonts w:ascii="Times New Roman" w:eastAsia="Times New Roman" w:hAnsi="Times New Roman" w:cs="Times New Roman"/>
          <w:spacing w:val="8"/>
        </w:rPr>
        <w:t>RAP</w:t>
      </w:r>
      <w:r>
        <w:rPr>
          <w:rStyle w:val="any"/>
          <w:rFonts w:ascii="PMingLiU" w:eastAsia="PMingLiU" w:hAnsi="PMingLiU" w:cs="PMingLiU"/>
          <w:spacing w:val="8"/>
        </w:rPr>
        <w:t>）和自噬抑制剂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3-</w:t>
      </w:r>
      <w:r>
        <w:rPr>
          <w:rStyle w:val="any"/>
          <w:rFonts w:ascii="PMingLiU" w:eastAsia="PMingLiU" w:hAnsi="PMingLiU" w:cs="PMingLiU"/>
          <w:spacing w:val="8"/>
        </w:rPr>
        <w:t>甲基丹宁（</w:t>
      </w:r>
      <w:r>
        <w:rPr>
          <w:rStyle w:val="any"/>
          <w:rFonts w:ascii="Times New Roman" w:eastAsia="Times New Roman" w:hAnsi="Times New Roman" w:cs="Times New Roman"/>
          <w:spacing w:val="8"/>
        </w:rPr>
        <w:t>3-MA</w:t>
      </w:r>
      <w:r>
        <w:rPr>
          <w:rStyle w:val="any"/>
          <w:rFonts w:ascii="PMingLiU" w:eastAsia="PMingLiU" w:hAnsi="PMingLiU" w:cs="PMingLiU"/>
          <w:spacing w:val="8"/>
        </w:rPr>
        <w:t>）被给予进一步的机制。测量了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和与自噬相关蛋白（如</w:t>
      </w:r>
      <w:r>
        <w:rPr>
          <w:rStyle w:val="any"/>
          <w:rFonts w:ascii="Times New Roman" w:eastAsia="Times New Roman" w:hAnsi="Times New Roman" w:cs="Times New Roman"/>
          <w:spacing w:val="8"/>
        </w:rPr>
        <w:t>LC3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Beclin1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p62</w:t>
      </w:r>
      <w:r>
        <w:rPr>
          <w:rStyle w:val="any"/>
          <w:rFonts w:ascii="PMingLiU" w:eastAsia="PMingLiU" w:hAnsi="PMingLiU" w:cs="PMingLiU"/>
          <w:spacing w:val="8"/>
        </w:rPr>
        <w:t>）以及血浆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水平的表达和位置。我们的结果表明，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RIPERC + IPOC</w:t>
      </w:r>
      <w:r>
        <w:rPr>
          <w:rStyle w:val="any"/>
          <w:rFonts w:ascii="PMingLiU" w:eastAsia="PMingLiU" w:hAnsi="PMingLiU" w:cs="PMingLiU"/>
          <w:spacing w:val="8"/>
        </w:rPr>
        <w:t>减弱了血浆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水平，以增强其对脑缺血性再灌注损伤的神经保护作用，通过抑制自噬过程。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676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辽宁省重大疾病的动物科研与临床应用</w:t>
      </w:r>
      <w:r>
        <w:rPr>
          <w:rStyle w:val="any"/>
          <w:rFonts w:ascii="Times New Roman" w:eastAsia="Times New Roman" w:hAnsi="Times New Roman" w:cs="Times New Roman"/>
          <w:spacing w:val="8"/>
        </w:rPr>
        <w:t>[2012225021]</w:t>
      </w:r>
      <w:r>
        <w:rPr>
          <w:rStyle w:val="any"/>
          <w:rFonts w:ascii="PMingLiU" w:eastAsia="PMingLiU" w:hAnsi="PMingLiU" w:cs="PMingLiU"/>
          <w:spacing w:val="8"/>
        </w:rPr>
        <w:t>；辽宁省科技项目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[2009225010-2]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Feng Juan</w:t>
      </w:r>
      <w:r>
        <w:rPr>
          <w:rStyle w:val="any"/>
          <w:rFonts w:ascii="PMingLiU" w:eastAsia="PMingLiU" w:hAnsi="PMingLiU" w:cs="PMingLiU"/>
          <w:spacing w:val="8"/>
        </w:rPr>
        <w:t>（音译：冯绢），疑为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中国医科大学附属盛京医院神经内科教研室主任、教授、博士生导师、学科带头人。。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https://pubpeer.com/publications/47DA72249D469A0066D28F935A4E50/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3&amp;sn=ca9354264e08dbe11cecc378fb9674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