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学术不端！临沂市中心医院感染科首席专家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Tang, Gongen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（音译：唐公恩）论文被撤稿，图像多处重复！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19:02:41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7109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65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2020年2月1日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微软雅黑" w:eastAsia="微软雅黑" w:hAnsi="微软雅黑" w:cs="微软雅黑"/>
          <w:spacing w:val="8"/>
        </w:rPr>
        <w:t>Paris saponin VII enhanced the sensitivity of HepG2/ADR cells to ADR via modulation of PI3K/AKT/MAPK signaling pathway（巴黎皂苷Ⅶ通过调节PI3K / AKT / MAPK信号通路增强HepG2 / ADR细胞对ADR的敏感性）的论文在</w:t>
      </w:r>
      <w:r>
        <w:rPr>
          <w:rStyle w:val="any"/>
          <w:rFonts w:ascii="微软雅黑" w:eastAsia="微软雅黑" w:hAnsi="微软雅黑" w:cs="微软雅黑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KAOHSIUNG JOURNAL OF MEDICAL SCIENCES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微软雅黑" w:eastAsia="微软雅黑" w:hAnsi="微软雅黑" w:cs="微软雅黑"/>
          <w:spacing w:val="8"/>
        </w:rPr>
        <w:t>发表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论文</w:t>
      </w:r>
      <w:r>
        <w:rPr>
          <w:rStyle w:val="any"/>
          <w:rFonts w:ascii="微软雅黑" w:eastAsia="微软雅黑" w:hAnsi="微软雅黑" w:cs="微软雅黑"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spacing w:val="8"/>
        </w:rPr>
        <w:t>10.1002/kjm2.12145。</w:t>
      </w:r>
      <w:r>
        <w:rPr>
          <w:rStyle w:val="any"/>
          <w:rFonts w:ascii="微软雅黑" w:eastAsia="微软雅黑" w:hAnsi="微软雅黑" w:cs="微软雅黑"/>
          <w:spacing w:val="8"/>
        </w:rPr>
        <w:t>2021年8月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</w:t>
      </w:r>
      <w:r>
        <w:rPr>
          <w:rStyle w:val="any"/>
          <w:rFonts w:ascii="微软雅黑" w:eastAsia="微软雅黑" w:hAnsi="微软雅黑" w:cs="微软雅黑"/>
          <w:spacing w:val="8"/>
        </w:rPr>
        <w:t>学术监督平台上，</w:t>
      </w:r>
      <w:r>
        <w:rPr>
          <w:rStyle w:val="any"/>
          <w:rFonts w:ascii="微软雅黑" w:eastAsia="微软雅黑" w:hAnsi="微软雅黑" w:cs="微软雅黑"/>
          <w:spacing w:val="8"/>
        </w:rPr>
        <w:t>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对该论文提出质疑，认为图像存在多处重复，最终被撤稿。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747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81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6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0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21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为了找到巴黎皂苷</w:t>
      </w:r>
      <w:r>
        <w:rPr>
          <w:rStyle w:val="any"/>
          <w:rFonts w:ascii="Times New Roman" w:eastAsia="Times New Roman" w:hAnsi="Times New Roman" w:cs="Times New Roman"/>
          <w:spacing w:val="8"/>
        </w:rPr>
        <w:t>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）介导的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</w:t>
      </w:r>
      <w:r>
        <w:rPr>
          <w:rStyle w:val="any"/>
          <w:rFonts w:ascii="PMingLiU" w:eastAsia="PMingLiU" w:hAnsi="PMingLiU" w:cs="PMingLiU"/>
          <w:spacing w:val="8"/>
        </w:rPr>
        <w:t>信号通路对</w:t>
      </w:r>
      <w:r>
        <w:rPr>
          <w:rStyle w:val="any"/>
          <w:rFonts w:ascii="Times New Roman" w:eastAsia="Times New Roman" w:hAnsi="Times New Roman" w:cs="Times New Roman"/>
          <w:spacing w:val="8"/>
        </w:rPr>
        <w:t>ADR HEPG2</w:t>
      </w:r>
      <w:r>
        <w:rPr>
          <w:rStyle w:val="any"/>
          <w:rFonts w:ascii="PMingLiU" w:eastAsia="PMingLiU" w:hAnsi="PMingLiU" w:cs="PMingLiU"/>
          <w:spacing w:val="8"/>
        </w:rPr>
        <w:t>细胞（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）对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的敏感性的影响。通过使用</w:t>
      </w:r>
      <w:r>
        <w:rPr>
          <w:rStyle w:val="any"/>
          <w:rFonts w:ascii="Times New Roman" w:eastAsia="Times New Roman" w:hAnsi="Times New Roman" w:cs="Times New Roman"/>
          <w:spacing w:val="8"/>
        </w:rPr>
        <w:t>MTT</w:t>
      </w:r>
      <w:r>
        <w:rPr>
          <w:rStyle w:val="any"/>
          <w:rFonts w:ascii="PMingLiU" w:eastAsia="PMingLiU" w:hAnsi="PMingLiU" w:cs="PMingLiU"/>
          <w:spacing w:val="8"/>
        </w:rPr>
        <w:t>分析检测到增殖抑制率。使用流式细胞仪检查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的细胞内积累。通过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QRT-PCR</w:t>
      </w:r>
      <w:r>
        <w:rPr>
          <w:rStyle w:val="any"/>
          <w:rFonts w:ascii="PMingLiU" w:eastAsia="PMingLiU" w:hAnsi="PMingLiU" w:cs="PMingLiU"/>
          <w:spacing w:val="8"/>
        </w:rPr>
        <w:t>，通过膜联蛋白</w:t>
      </w:r>
      <w:r>
        <w:rPr>
          <w:rStyle w:val="any"/>
          <w:rFonts w:ascii="Times New Roman" w:eastAsia="Times New Roman" w:hAnsi="Times New Roman" w:cs="Times New Roman"/>
          <w:spacing w:val="8"/>
        </w:rPr>
        <w:t>-V-FITC/PI</w:t>
      </w:r>
      <w:r>
        <w:rPr>
          <w:rStyle w:val="any"/>
          <w:rFonts w:ascii="PMingLiU" w:eastAsia="PMingLiU" w:hAnsi="PMingLiU" w:cs="PMingLiU"/>
          <w:spacing w:val="8"/>
        </w:rPr>
        <w:t>染色检测到与药物抗药性基因（</w:t>
      </w:r>
      <w:r>
        <w:rPr>
          <w:rStyle w:val="any"/>
          <w:rFonts w:ascii="Times New Roman" w:eastAsia="Times New Roman" w:hAnsi="Times New Roman" w:cs="Times New Roman"/>
          <w:spacing w:val="8"/>
        </w:rPr>
        <w:t>P-GP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MRP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BCRP</w:t>
      </w:r>
      <w:r>
        <w:rPr>
          <w:rStyle w:val="any"/>
          <w:rFonts w:ascii="PMingLiU" w:eastAsia="PMingLiU" w:hAnsi="PMingLiU" w:cs="PMingLiU"/>
          <w:spacing w:val="8"/>
        </w:rPr>
        <w:t>）的表达，以及与药物耐药相关蛋白的表达，凋亡相关的蛋白质的表达，与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 PATHWAY PATERINS</w:t>
      </w:r>
      <w:r>
        <w:rPr>
          <w:rStyle w:val="any"/>
          <w:rFonts w:ascii="PMingLiU" w:eastAsia="PMingLiU" w:hAnsi="PMingLiU" w:cs="PMingLiU"/>
          <w:spacing w:val="8"/>
        </w:rPr>
        <w:t>确定与凋亡相关的蛋白质。用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0.88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1.32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1.98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2.97 MU M</w:t>
      </w:r>
      <w:r>
        <w:rPr>
          <w:rStyle w:val="any"/>
          <w:rFonts w:ascii="PMingLiU" w:eastAsia="PMingLiU" w:hAnsi="PMingLiU" w:cs="PMingLiU"/>
          <w:spacing w:val="8"/>
        </w:rPr>
        <w:t>）处理的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HEPG2</w:t>
      </w:r>
      <w:r>
        <w:rPr>
          <w:rStyle w:val="any"/>
          <w:rFonts w:ascii="PMingLiU" w:eastAsia="PMingLiU" w:hAnsi="PMingLiU" w:cs="PMingLiU"/>
          <w:spacing w:val="8"/>
        </w:rPr>
        <w:t>细胞在</w:t>
      </w:r>
      <w:r>
        <w:rPr>
          <w:rStyle w:val="any"/>
          <w:rFonts w:ascii="Times New Roman" w:eastAsia="Times New Roman" w:hAnsi="Times New Roman" w:cs="Times New Roman"/>
          <w:spacing w:val="8"/>
        </w:rPr>
        <w:t>48</w:t>
      </w:r>
      <w:r>
        <w:rPr>
          <w:rStyle w:val="any"/>
          <w:rFonts w:ascii="PMingLiU" w:eastAsia="PMingLiU" w:hAnsi="PMingLiU" w:cs="PMingLiU"/>
          <w:spacing w:val="8"/>
        </w:rPr>
        <w:t>小时内显示出以剂量依赖性方式增加的增殖抑制率。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细胞处理了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0.88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1.32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1.98 mu M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48</w:t>
      </w:r>
      <w:r>
        <w:rPr>
          <w:rStyle w:val="any"/>
          <w:rFonts w:ascii="PMingLiU" w:eastAsia="PMingLiU" w:hAnsi="PMingLiU" w:cs="PMingLiU"/>
          <w:spacing w:val="8"/>
        </w:rPr>
        <w:t>小时，显示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IC50</w:t>
      </w:r>
      <w:r>
        <w:rPr>
          <w:rStyle w:val="any"/>
          <w:rFonts w:ascii="PMingLiU" w:eastAsia="PMingLiU" w:hAnsi="PMingLiU" w:cs="PMingLiU"/>
          <w:spacing w:val="8"/>
        </w:rPr>
        <w:t>降低。</w:t>
      </w:r>
      <w:r>
        <w:rPr>
          <w:rStyle w:val="any"/>
          <w:rFonts w:ascii="Times New Roman" w:eastAsia="Times New Roman" w:hAnsi="Times New Roman" w:cs="Times New Roman"/>
          <w:spacing w:val="8"/>
        </w:rPr>
        <w:t>Compared with HepG2/ADR cells treated with ADR (5 nM), those treated with PS VII (&lt;= 1.98 mu M) and ADR (5 nM) showed enhanced ADR accumulation, decreased drug-resistant gene expressions, increased cell apoptosis with unregulated Bax and cleaved caspase-3 and downregulated Bcl-2, as well as the inhibition of PI3K/AKT/MAPK pathway.</w:t>
      </w: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5 nm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1.98 MU M</w:t>
      </w:r>
      <w:r>
        <w:rPr>
          <w:rStyle w:val="any"/>
          <w:rFonts w:ascii="PMingLiU" w:eastAsia="PMingLiU" w:hAnsi="PMingLiU" w:cs="PMingLiU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</w:rPr>
        <w:t>LY294002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PI3K/AKT</w:t>
      </w:r>
      <w:r>
        <w:rPr>
          <w:rStyle w:val="any"/>
          <w:rFonts w:ascii="PMingLiU" w:eastAsia="PMingLiU" w:hAnsi="PMingLiU" w:cs="PMingLiU"/>
          <w:spacing w:val="8"/>
        </w:rPr>
        <w:t>抑制剂，</w:t>
      </w:r>
      <w:r>
        <w:rPr>
          <w:rStyle w:val="any"/>
          <w:rFonts w:ascii="Times New Roman" w:eastAsia="Times New Roman" w:hAnsi="Times New Roman" w:cs="Times New Roman"/>
          <w:spacing w:val="8"/>
        </w:rPr>
        <w:t>20 mu m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/SB203580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p38</w:t>
      </w:r>
      <w:r>
        <w:rPr>
          <w:rStyle w:val="any"/>
          <w:rFonts w:ascii="PMingLiU" w:eastAsia="PMingLiU" w:hAnsi="PMingLiU" w:cs="PMingLiU"/>
          <w:spacing w:val="8"/>
        </w:rPr>
        <w:t>抑制剂，</w:t>
      </w:r>
      <w:r>
        <w:rPr>
          <w:rStyle w:val="any"/>
          <w:rFonts w:ascii="Times New Roman" w:eastAsia="Times New Roman" w:hAnsi="Times New Roman" w:cs="Times New Roman"/>
          <w:spacing w:val="8"/>
        </w:rPr>
        <w:t>20 mu m</w:t>
      </w:r>
      <w:r>
        <w:rPr>
          <w:rStyle w:val="any"/>
          <w:rFonts w:ascii="PMingLiU" w:eastAsia="PMingLiU" w:hAnsi="PMingLiU" w:cs="PMingLiU"/>
          <w:spacing w:val="8"/>
        </w:rPr>
        <w:t>）的组合可以进一步降低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 Cell Vibal apopt</w:t>
      </w:r>
      <w:r>
        <w:rPr>
          <w:rStyle w:val="any"/>
          <w:rFonts w:ascii="PMingLiU" w:eastAsia="PMingLiU" w:hAnsi="PMingLiU" w:cs="PMingLiU"/>
          <w:spacing w:val="8"/>
        </w:rPr>
        <w:t>，但可以进一步降低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 Cell Vibal apopt</w:t>
      </w:r>
      <w:r>
        <w:rPr>
          <w:rStyle w:val="any"/>
          <w:rFonts w:ascii="PMingLiU" w:eastAsia="PMingLiU" w:hAnsi="PMingLiU" w:cs="PMingLiU"/>
          <w:spacing w:val="8"/>
        </w:rPr>
        <w:t>，并降低降低。耐药基因。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可以下调药物抗性基因的表达，增加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的细胞内积累，促进细胞凋亡，并通过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</w:t>
      </w:r>
      <w:r>
        <w:rPr>
          <w:rStyle w:val="any"/>
          <w:rFonts w:ascii="PMingLiU" w:eastAsia="PMingLiU" w:hAnsi="PMingLiU" w:cs="PMingLiU"/>
          <w:spacing w:val="8"/>
        </w:rPr>
        <w:t>提高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细胞对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的敏感性。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464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8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认为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日在线发表于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Wiley Online Library(wileyonlinelibrary . com ),</w:t>
      </w:r>
      <w:r>
        <w:rPr>
          <w:rStyle w:val="any"/>
          <w:rFonts w:ascii="PMingLiU" w:eastAsia="PMingLiU" w:hAnsi="PMingLiU" w:cs="PMingLiU"/>
          <w:spacing w:val="8"/>
        </w:rPr>
        <w:t>经双方同意已被撤回；该刊总编辑，庄万龙；高雄医科大学；约翰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威利父子澳大利亚公司。由于图</w:t>
      </w:r>
      <w:r>
        <w:rPr>
          <w:rStyle w:val="any"/>
          <w:rFonts w:ascii="Times New Roman" w:eastAsia="Times New Roman" w:hAnsi="Times New Roman" w:cs="Times New Roman"/>
          <w:spacing w:val="8"/>
        </w:rPr>
        <w:t>4A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6C</w:t>
      </w:r>
      <w:r>
        <w:rPr>
          <w:rStyle w:val="any"/>
          <w:rFonts w:ascii="PMingLiU" w:eastAsia="PMingLiU" w:hAnsi="PMingLiU" w:cs="PMingLiU"/>
          <w:spacing w:val="8"/>
        </w:rPr>
        <w:t>中的元素，收回已被同意，这些元素被发现在其他地方发表的其他文章中重复，并且在某些情况下代表不同的科学背景。作者没有对提出的问题作出回应。编辑们对提供的数据失去了信心，并认为结论大打折扣。作者被告知撤回，但无法发表评论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该论文于</w:t>
      </w:r>
      <w:r>
        <w:rPr>
          <w:rStyle w:val="any"/>
          <w:rFonts w:ascii="微软雅黑" w:eastAsia="微软雅黑" w:hAnsi="微软雅黑" w:cs="微软雅黑"/>
          <w:spacing w:val="8"/>
        </w:rPr>
        <w:t>2025年4月9日被撤回。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594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34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Tang, Gongen</w:t>
      </w:r>
      <w:r>
        <w:rPr>
          <w:rStyle w:val="any"/>
          <w:rFonts w:ascii="PMingLiU" w:eastAsia="PMingLiU" w:hAnsi="PMingLiU" w:cs="PMingLiU"/>
          <w:spacing w:val="8"/>
        </w:rPr>
        <w:t>（音译：唐公恩），疑为</w:t>
      </w:r>
      <w:r>
        <w:rPr>
          <w:rStyle w:val="any"/>
          <w:rFonts w:ascii="PMingLiU" w:eastAsia="PMingLiU" w:hAnsi="PMingLiU" w:cs="PMingLiU"/>
          <w:spacing w:val="8"/>
        </w:rPr>
        <w:t>临沂市中心医院感染科首席专家，主任医师。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https://pubpeer.com/publications/A72CF2F90D79EF7A7965D41B3203A4#0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https://pubmed.ncbi.nlm.nih.gov/31688993/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414&amp;idx=3&amp;sn=4f4c2877f2450da4215c4ba46dc690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