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11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45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11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1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95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0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33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