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已撤稿，河南大学淮河医院神经内科梁慧敏论文被撤回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23;8(60):101012-101025.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10.18632/oncotarget.18195.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t-CREB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p-CREB</w:t>
      </w:r>
      <w:r>
        <w:rPr>
          <w:rStyle w:val="any"/>
          <w:rFonts w:ascii="PMingLiU" w:eastAsia="PMingLiU" w:hAnsi="PMingLiU" w:cs="PMingLiU"/>
          <w:spacing w:val="8"/>
        </w:rPr>
        <w:t>蛋白的蛋白质印迹图像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14921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我已经在加载控件中标记了两个气泡，这使得它在众多的外观中特别容易辨认。例如，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通过逆转录定量聚合酶链式反应（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）和蛋白质免疫印迹法检测五种细胞系中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SPRY4-IT1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的表达情况</w:t>
      </w:r>
      <w:r>
        <w:rPr>
          <w:rStyle w:val="any"/>
          <w:rFonts w:ascii="Times New Roman" w:eastAsia="Times New Roman" w:hAnsi="Times New Roman" w:cs="Times New Roman"/>
          <w:spacing w:val="8"/>
        </w:rPr>
        <w:t>……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，通过蛋白质免疫印迹法检测五种肺癌（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</w:t>
      </w:r>
      <w:r>
        <w:rPr>
          <w:rStyle w:val="any"/>
          <w:rFonts w:ascii="PMingLiU" w:eastAsia="PMingLiU" w:hAnsi="PMingLiU" w:cs="PMingLiU"/>
          <w:spacing w:val="8"/>
        </w:rPr>
        <w:t>）细胞系中的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蛋白条带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616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]Wang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567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也很有趣，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PMingLiU" w:eastAsia="PMingLiU" w:hAnsi="PMingLiU" w:cs="PMingLiU"/>
          <w:spacing w:val="8"/>
        </w:rPr>
        <w:t>表达的蛋白质印迹图像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656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模型组大鼠顶叶皮层局部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脑血流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的变化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86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626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意外的周期性。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28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273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为了协助这项调查。。。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从左顺时针：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SDF-1/CXCR4 on the Repair of Traumatic Brain Injury in Rats by Mediating Bone Marrow Derived Mesenchymal Stem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Overexpression of lncRNA ANRIL up-regulates VEGF expression and promotes angiogenesis of diabetes mellitus combined with cerebral infarction by activating NF-κB signaling pathway in a rat model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正在研究中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Lentiviral‐mediated silencing of mast cell‐expressed membrane protein 1 promotes angiogenesis of rats with cerebral ischemic stroke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0227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Helichrysum heldreichii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https://www.oncotarget.com/article/28712/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收回：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up-regulating μ- and δ-opioid receptors, neuron-restrictive silencer factor knockdown promotes neurological recovery after ischemia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Oncotarget. 2025; 16:256-256.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https://doi.org/10.18632/oncotarget.28712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Hui-Min Liang1,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lang w:val="en-US" w:eastAsia="en-US"/>
        </w:rPr>
        <w:t>, Li-Jiao Geng1,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Xiao-Yan Shi2, Chao-Gang Zhang1, Shu-Yan Wang3 and Guang-Ming Zhang3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河南大学淮河医院神经内科，开封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475000 2</w:t>
      </w:r>
      <w:r>
        <w:rPr>
          <w:rStyle w:val="any"/>
          <w:rFonts w:ascii="PMingLiU" w:eastAsia="PMingLiU" w:hAnsi="PMingLiU" w:cs="PMingLiU"/>
          <w:spacing w:val="8"/>
        </w:rPr>
        <w:t>河南大学中医药研究所，开封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47500 3</w:t>
      </w:r>
      <w:r>
        <w:rPr>
          <w:rStyle w:val="any"/>
          <w:rFonts w:ascii="PMingLiU" w:eastAsia="PMingLiU" w:hAnsi="PMingLiU" w:cs="PMingLiU"/>
          <w:spacing w:val="8"/>
        </w:rPr>
        <w:t>上海交通大学医学院同仁医院麻醉科，上海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200336*</w:t>
      </w:r>
      <w:r>
        <w:rPr>
          <w:rStyle w:val="any"/>
          <w:rFonts w:ascii="PMingLiU" w:eastAsia="PMingLiU" w:hAnsi="PMingLiU" w:cs="PMingLiU"/>
          <w:spacing w:val="8"/>
        </w:rPr>
        <w:t>这些作者对这项工作做出了同样的贡献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已完成对本文中图像复制的调查。研究发现，在图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中，来自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组的脑组织的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BrdU</w:t>
      </w:r>
      <w:r>
        <w:rPr>
          <w:rStyle w:val="any"/>
          <w:rFonts w:ascii="PMingLiU" w:eastAsia="PMingLiU" w:hAnsi="PMingLiU" w:cs="PMingLiU"/>
          <w:spacing w:val="8"/>
        </w:rPr>
        <w:t>免疫组织化学染色图像与之前发表的无关论文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组重叠，该论文已被撤回。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正常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组图像也与同时发表的无关论文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中的蛋白质印迹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图像与同一论文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图片重叠。此外，免疫染色和蛋白质印迹图像也在许多后来的出版物中再现。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尽管多次尝试就这些问题联系作者，但我们尚未收到回复。因此，编辑部决定撤回这篇论文。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REFERENCES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B, Wang D, Ji TF, Shi L, Yu JL. Overexpression of lncRNA      ANRIL up-regulates VEGF expression and promotes angiogenesis of diabetes      mellitus combined with cerebral infarction by activating NF-κB signaling      pathway in a rat model. Oncotarget. 2017; 8:17347–59.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https://doi.org/10.18632/oncotarget.14468.Retraction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in:      Oncotarget. 2025; 16:9.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https://doi.org/10.18632/oncotarget.28572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 QJ, Xu XF, Ren J. Effects of SDF-1/CXCR4 on the Repair of      Traumatic Brain Injury in Rats by Mediating Bone Marrow Derived      Mesenchymal Stem Cells. Cell Mol Neurobiol. 2018; 38:467–77.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https://doi.org/10.1007/s10571-017-0490-4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Original article: Oncotarget. 2017; 8:101012-101025. DOI: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https://doi.org/10.18632/oncotarget.18195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https://pubmed.ncbi.nlm.nih.gov/29254142/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074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慧敏，河南大学淮河医院神经内科科副主任，主任医师，副教授，博士。擅长急性脑血管病、帕金森氏病、抑郁焦虑、睡眠障碍、头痛头晕等。任河南省神经变性病分会委员；河南省中西医结合学会眩晕分会委员；河南省卒中学会卒中后心理与情感分会委员；河南省医学科学普及学会心身同治专业委员会委员。参与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项；河南大学重点课题项目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项；主持河南省科技厅项目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项，主持河南省教育厅项目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项，主持河南大学自然科学基础研究项目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项，获得河南省科学技术成果鉴定项目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项；获国家专利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项。近年来发表发表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篇，核心及国家级论文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https://pubpeer.com/publications/ED911A17A29D90761B4FB6AFD41EE7#0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4&amp;sn=c895dd25321c47eb525e72fae8b5fc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