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广州生物医药与健康研究所李鹏团队发表的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11:10:44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86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45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汇总结果：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[1]LP12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对图片重复使用；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[2]LP47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对图片重复使用；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[3]LP47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LP20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存在文章间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对图片交叉重复使用；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[4]LP65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对图片重复使用；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[4]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诚信科研编辑部通过筛库，发现2023年7月11日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中国科学院广州生物医药与健康研究所李鹏团队在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Reports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 lymphocytes expressing the switchable chimeric Fc receptor CD64 exhibit augmented persistence and antitumor activity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”的研究论文（LP65），文章内存在1对图片重复使用。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48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390775" cy="15430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8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对所有图片进行检测，iFigures发现文章间存在1对图片重复使用：图5A-5与5A-7是一样的图片，但是代表明显不一样的图片。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82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91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诚信科研编辑部通过筛库，发现2017年3月15日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中国科学院广州生物医药与健康研究所李鹏团队在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ONCOIMMUNOLOGY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PSCA and MUC1 in non-small-cell lung cancer as targets of chimeric antigen receptor T cells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”的研究论文（LP20），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2021年1月15日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中国科学院广州生物医药与健康研究所李鹏等团队合作于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2021年1月15日在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Myeloid-derived suppressor cells promote lung cancer metastasis by CCL11 to activate ERK and AKT signaling and induce epithelial-mesenchymal transition in tumor cells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”的研究论文（LP47），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文中间出现1对图片交叉重复使用。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spacing w:val="8"/>
          <w:sz w:val="23"/>
          <w:szCs w:val="23"/>
          <w:u w:val="none"/>
        </w:rPr>
        <w:drawing>
          <wp:inline>
            <wp:extent cx="6143625" cy="385658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9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54539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0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4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62225" cy="13716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20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对所有图片进行检测，iFigures发现文章间存在1对文章间图片交叉重复使用：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LP20-1B-2与LP47-4C-5出现部分重叠。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17871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29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7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中国科学院广州生物医药与健康研究所李鹏等团队合作于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2021年1月15日在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Myeloid-derived suppressor cells promote lung cancer metastasis by CCL11 to activate ERK and AKT signaling and induce epithelial-mesenchymal transition in tumor cells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”的研究论文（LP47），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文中出现6对图片重复使用。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56582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8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608674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2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对所有图片进行检测，iFigures发现文章间存在6对图片重复使用：图1D-3及图1D-5出现重叠；图3C出现3对图片重复（都出现旋转的行为）；图3D-14与3D-2出现图片重叠；图4C-5与图4C-7出现部分重叠；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702057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3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477557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62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732569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3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另外，在Pubpeer上只是发现3对图片重复，漏了3对重复的图片。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中国科学院广州生物医药与健康研究所李鹏团队于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2017年10月20日在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</w:rPr>
        <w:t>Oncotarget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GZD824 suppresses the growth of human B cell precursor acute lymphoblastic leukemia cells by inhibiting the SRC kinase and PI3K/AKT pathways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”的研究论文（简称LP12）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</w:rPr>
        <w:t>，文章间存在5对图片重复使用。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447256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82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682625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对所有图片进行检测，iFigures发现文章间存在5对图片重复使用：其中3C-1，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3C-3，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3C-4及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3C-5出现相互重叠，来自同一张切片；3C-13及3C-15出现部分重叠，但是代表不同的实验；4A-2及4A-7是一样的图片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403511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16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62600" cy="5905500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72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7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571&amp;idx=1&amp;sn=5f6f552b903ee67030614dc2e02958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