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09:25:43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36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2019 年 9 月 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南通大学附属医院Kuai Xiaoling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SCFFBXW7/GSK3β-Mediated GFI1 Degradation Suppresses Proliferation of Gastric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83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42621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28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https://pubpeer.com/publications/3DCE82B49031D3F6E7C3C7BC91216E#0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76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1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405&amp;idx=2&amp;sn=560acd91f246efdd9411f620b3e7b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