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宁夏医科大学</w:t>
        </w:r>
        <w:r>
          <w:rPr>
            <w:rStyle w:val="a"/>
            <w:rFonts w:ascii="Times New Roman" w:eastAsia="Times New Roman" w:hAnsi="Times New Roman" w:cs="Times New Roman"/>
            <w:b w:val="0"/>
            <w:bCs w:val="0"/>
            <w:spacing w:val="8"/>
          </w:rPr>
          <w:t>Int Immunopharm</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2025-04-09 21:51:10</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7278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46842"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465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874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9534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519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03345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77312" name=""/>
                    <pic:cNvPicPr>
                      <a:picLocks noChangeAspect="1"/>
                    </pic:cNvPicPr>
                  </pic:nvPicPr>
                  <pic:blipFill>
                    <a:blip xmlns:r="http://schemas.openxmlformats.org/officeDocument/2006/relationships" r:embed="rId11"/>
                    <a:stretch>
                      <a:fillRect/>
                    </a:stretch>
                  </pic:blipFill>
                  <pic:spPr>
                    <a:xfrm>
                      <a:off x="0" y="0"/>
                      <a:ext cx="5486400" cy="30334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1"/>
          <w:szCs w:val="21"/>
        </w:rPr>
        <w:t>2021</w:t>
      </w:r>
      <w:r>
        <w:rPr>
          <w:rStyle w:val="any"/>
          <w:rFonts w:ascii="PMingLiU" w:eastAsia="PMingLiU" w:hAnsi="PMingLiU" w:cs="PMingLiU"/>
          <w:color w:val="06071F"/>
          <w:spacing w:val="22"/>
          <w:sz w:val="21"/>
          <w:szCs w:val="21"/>
        </w:rPr>
        <w:t>年</w:t>
      </w:r>
      <w:r>
        <w:rPr>
          <w:rStyle w:val="any"/>
          <w:rFonts w:ascii="PMingLiU" w:eastAsia="PMingLiU" w:hAnsi="PMingLiU" w:cs="PMingLiU"/>
          <w:b w:val="0"/>
          <w:bCs w:val="0"/>
          <w:i w:val="0"/>
          <w:iCs w:val="0"/>
          <w:caps w:val="0"/>
          <w:color w:val="404040"/>
          <w:spacing w:val="0"/>
          <w:sz w:val="21"/>
          <w:szCs w:val="21"/>
        </w:rPr>
        <w:t>，来自</w:t>
      </w:r>
      <w:r>
        <w:rPr>
          <w:rStyle w:val="any"/>
          <w:rFonts w:ascii="PMingLiU" w:eastAsia="PMingLiU" w:hAnsi="PMingLiU" w:cs="PMingLiU"/>
          <w:b w:val="0"/>
          <w:bCs w:val="0"/>
          <w:i w:val="0"/>
          <w:iCs w:val="0"/>
          <w:caps w:val="0"/>
          <w:color w:val="404040"/>
          <w:spacing w:val="0"/>
          <w:sz w:val="21"/>
          <w:szCs w:val="21"/>
        </w:rPr>
        <w:t>宁夏医科大学</w:t>
      </w:r>
      <w:r>
        <w:rPr>
          <w:rStyle w:val="any"/>
          <w:rFonts w:ascii="PMingLiU" w:eastAsia="PMingLiU" w:hAnsi="PMingLiU" w:cs="PMingLiU"/>
          <w:b w:val="0"/>
          <w:bCs w:val="0"/>
          <w:i w:val="0"/>
          <w:iCs w:val="0"/>
          <w:caps w:val="0"/>
          <w:color w:val="404040"/>
          <w:spacing w:val="0"/>
          <w:sz w:val="21"/>
          <w:szCs w:val="21"/>
        </w:rPr>
        <w:t>的</w:t>
      </w:r>
      <w:r>
        <w:rPr>
          <w:rStyle w:val="any"/>
          <w:rFonts w:ascii="Segoe UI" w:eastAsia="Segoe UI" w:hAnsi="Segoe UI" w:cs="Segoe UI"/>
          <w:b w:val="0"/>
          <w:bCs w:val="0"/>
          <w:i w:val="0"/>
          <w:iCs w:val="0"/>
          <w:caps w:val="0"/>
          <w:color w:val="404040"/>
          <w:spacing w:val="0"/>
          <w:sz w:val="21"/>
          <w:szCs w:val="21"/>
        </w:rPr>
        <w:t>Wenxun Liu</w:t>
      </w:r>
      <w:r>
        <w:rPr>
          <w:rStyle w:val="any"/>
          <w:rFonts w:ascii="PMingLiU" w:eastAsia="PMingLiU" w:hAnsi="PMingLiU" w:cs="PMingLiU"/>
          <w:b w:val="0"/>
          <w:bCs w:val="0"/>
          <w:i w:val="0"/>
          <w:iCs w:val="0"/>
          <w:caps w:val="0"/>
          <w:color w:val="404040"/>
          <w:spacing w:val="0"/>
          <w:sz w:val="21"/>
          <w:szCs w:val="21"/>
        </w:rPr>
        <w:t>（第一作者）、</w:t>
      </w:r>
      <w:r>
        <w:rPr>
          <w:rStyle w:val="any"/>
          <w:rFonts w:ascii="Segoe UI" w:eastAsia="Segoe UI" w:hAnsi="Segoe UI" w:cs="Segoe UI"/>
          <w:b w:val="0"/>
          <w:bCs w:val="0"/>
          <w:i w:val="0"/>
          <w:iCs w:val="0"/>
          <w:caps w:val="0"/>
          <w:color w:val="404040"/>
          <w:spacing w:val="0"/>
          <w:sz w:val="21"/>
          <w:szCs w:val="21"/>
        </w:rPr>
        <w:t>Kerong Hai</w:t>
      </w:r>
      <w:r>
        <w:rPr>
          <w:rStyle w:val="any"/>
          <w:rFonts w:ascii="PMingLiU" w:eastAsia="PMingLiU" w:hAnsi="PMingLiU" w:cs="PMingLiU"/>
          <w:b w:val="0"/>
          <w:bCs w:val="0"/>
          <w:i w:val="0"/>
          <w:iCs w:val="0"/>
          <w:caps w:val="0"/>
          <w:color w:val="404040"/>
          <w:spacing w:val="0"/>
          <w:sz w:val="21"/>
          <w:szCs w:val="21"/>
        </w:rPr>
        <w:t>（通讯作者）及其团队（</w:t>
      </w:r>
      <w:r>
        <w:rPr>
          <w:rStyle w:val="any"/>
          <w:rFonts w:ascii="Segoe UI" w:eastAsia="Segoe UI" w:hAnsi="Segoe UI" w:cs="Segoe UI"/>
          <w:b w:val="0"/>
          <w:bCs w:val="0"/>
          <w:i w:val="0"/>
          <w:iCs w:val="0"/>
          <w:caps w:val="0"/>
          <w:color w:val="404040"/>
          <w:spacing w:val="0"/>
          <w:sz w:val="21"/>
          <w:szCs w:val="21"/>
        </w:rPr>
        <w:t>Qingshan Ye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Wenhua Xi </w:t>
      </w:r>
      <w:r>
        <w:rPr>
          <w:rStyle w:val="any"/>
          <w:rFonts w:ascii="Segoe UI" w:eastAsia="Segoe UI" w:hAnsi="Segoe UI" w:cs="Segoe UI"/>
          <w:b w:val="0"/>
          <w:bCs w:val="0"/>
          <w:i w:val="0"/>
          <w:iCs w:val="0"/>
          <w:caps w:val="0"/>
          <w:color w:val="404040"/>
          <w:spacing w:val="0"/>
          <w:sz w:val="21"/>
          <w:szCs w:val="21"/>
        </w:rPr>
        <w:t>, </w:t>
      </w:r>
      <w:r>
        <w:rPr>
          <w:rStyle w:val="any"/>
          <w:rFonts w:ascii="Segoe UI" w:eastAsia="Segoe UI" w:hAnsi="Segoe UI" w:cs="Segoe UI"/>
          <w:b w:val="0"/>
          <w:bCs w:val="0"/>
          <w:i w:val="0"/>
          <w:iCs w:val="0"/>
          <w:caps w:val="0"/>
          <w:color w:val="404040"/>
          <w:spacing w:val="0"/>
          <w:sz w:val="21"/>
          <w:szCs w:val="21"/>
        </w:rPr>
        <w:t>Yan L</w:t>
      </w:r>
      <w:r>
        <w:rPr>
          <w:rStyle w:val="any"/>
          <w:rFonts w:ascii="PMingLiU" w:eastAsia="PMingLiU" w:hAnsi="PMingLiU" w:cs="PMingLiU"/>
          <w:b w:val="0"/>
          <w:bCs w:val="0"/>
          <w:i w:val="0"/>
          <w:iCs w:val="0"/>
          <w:caps w:val="0"/>
          <w:color w:val="404040"/>
          <w:spacing w:val="0"/>
          <w:sz w:val="21"/>
          <w:szCs w:val="21"/>
        </w:rPr>
        <w:t>等）在</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International Immunopharmacology</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发表了一篇研究论文，题目为：《</w:t>
      </w:r>
      <w:r>
        <w:rPr>
          <w:rStyle w:val="any"/>
          <w:rFonts w:ascii="Segoe UI" w:eastAsia="Segoe UI" w:hAnsi="Segoe UI" w:cs="Segoe UI"/>
          <w:b w:val="0"/>
          <w:bCs w:val="0"/>
          <w:i w:val="0"/>
          <w:iCs w:val="0"/>
          <w:caps w:val="0"/>
          <w:color w:val="404040"/>
          <w:spacing w:val="0"/>
          <w:sz w:val="21"/>
          <w:szCs w:val="21"/>
        </w:rPr>
        <w:t>The ERK/CREB/PTN/syndecan-3 pathway involves in heparin-mediated neuro-protection and neuro-regeneration against cerebral ischemia-reperfusion injury following cardiac arrest</w:t>
      </w:r>
      <w:r>
        <w:rPr>
          <w:rStyle w:val="any"/>
          <w:rFonts w:ascii="PMingLiU" w:eastAsia="PMingLiU" w:hAnsi="PMingLiU" w:cs="PMingLiU"/>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 xml:space="preserve">ERK/CREB/PTN/syndecan-3 </w:t>
      </w:r>
      <w:r>
        <w:rPr>
          <w:rStyle w:val="any"/>
          <w:rFonts w:ascii="PMingLiU" w:eastAsia="PMingLiU" w:hAnsi="PMingLiU" w:cs="PMingLiU"/>
          <w:b w:val="0"/>
          <w:bCs w:val="0"/>
          <w:i w:val="0"/>
          <w:iCs w:val="0"/>
          <w:caps w:val="0"/>
          <w:color w:val="404040"/>
          <w:spacing w:val="0"/>
          <w:sz w:val="21"/>
          <w:szCs w:val="21"/>
        </w:rPr>
        <w:t>通路参与心脏骤停后脑缺血再灌注损伤的肝素介导的神经保护和神经再生）。</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该研究探讨了</w:t>
      </w:r>
      <w:r>
        <w:rPr>
          <w:rStyle w:val="any"/>
          <w:rFonts w:ascii="PMingLiU" w:eastAsia="PMingLiU" w:hAnsi="PMingLiU" w:cs="PMingLiU"/>
          <w:b/>
          <w:bCs/>
          <w:i w:val="0"/>
          <w:iCs w:val="0"/>
          <w:caps w:val="0"/>
          <w:color w:val="404040"/>
          <w:spacing w:val="0"/>
          <w:sz w:val="21"/>
          <w:szCs w:val="21"/>
        </w:rPr>
        <w:t>肝素</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heparin</w:t>
      </w:r>
      <w:r>
        <w:rPr>
          <w:rStyle w:val="any"/>
          <w:rFonts w:ascii="PMingLiU" w:eastAsia="PMingLiU" w:hAnsi="PMingLiU" w:cs="PMingLiU"/>
          <w:b w:val="0"/>
          <w:bCs w:val="0"/>
          <w:i w:val="0"/>
          <w:iCs w:val="0"/>
          <w:caps w:val="0"/>
          <w:color w:val="404040"/>
          <w:spacing w:val="0"/>
          <w:sz w:val="21"/>
          <w:szCs w:val="21"/>
        </w:rPr>
        <w:t>）在心脏骤停后脑缺血再灌注损伤中的潜在神经保护作用，并提出其机制可能涉及</w:t>
      </w:r>
      <w:r>
        <w:rPr>
          <w:rStyle w:val="any"/>
          <w:rFonts w:ascii="Segoe UI" w:eastAsia="Segoe UI" w:hAnsi="Segoe UI" w:cs="Segoe UI"/>
          <w:b/>
          <w:bCs/>
          <w:i w:val="0"/>
          <w:iCs w:val="0"/>
          <w:caps w:val="0"/>
          <w:color w:val="404040"/>
          <w:spacing w:val="0"/>
          <w:sz w:val="21"/>
          <w:szCs w:val="21"/>
        </w:rPr>
        <w:t>ERK/CREB/PTN/syndecan-3</w:t>
      </w:r>
      <w:r>
        <w:rPr>
          <w:rStyle w:val="any"/>
          <w:rFonts w:ascii="PMingLiU" w:eastAsia="PMingLiU" w:hAnsi="PMingLiU" w:cs="PMingLiU"/>
          <w:b/>
          <w:bCs/>
          <w:i w:val="0"/>
          <w:iCs w:val="0"/>
          <w:caps w:val="0"/>
          <w:color w:val="404040"/>
          <w:spacing w:val="0"/>
          <w:sz w:val="21"/>
          <w:szCs w:val="21"/>
        </w:rPr>
        <w:t>信号通路</w:t>
      </w:r>
      <w:r>
        <w:rPr>
          <w:rStyle w:val="any"/>
          <w:rFonts w:ascii="PMingLiU" w:eastAsia="PMingLiU" w:hAnsi="PMingLiU" w:cs="PMingLiU"/>
          <w:b w:val="0"/>
          <w:bCs w:val="0"/>
          <w:i w:val="0"/>
          <w:iCs w:val="0"/>
          <w:caps w:val="0"/>
          <w:color w:val="404040"/>
          <w:spacing w:val="0"/>
          <w:sz w:val="21"/>
          <w:szCs w:val="21"/>
        </w:rPr>
        <w:t>。研究通过动物实验和分子生物学方法（如</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、免疫组化等）证明，肝素治疗可减轻脑损伤、促进神经再生，并调控关键蛋白（如</w:t>
      </w:r>
      <w:r>
        <w:rPr>
          <w:rStyle w:val="any"/>
          <w:rFonts w:ascii="Segoe UI" w:eastAsia="Segoe UI" w:hAnsi="Segoe UI" w:cs="Segoe UI"/>
          <w:b w:val="0"/>
          <w:bCs w:val="0"/>
          <w:i w:val="0"/>
          <w:iCs w:val="0"/>
          <w:caps w:val="0"/>
          <w:color w:val="404040"/>
          <w:spacing w:val="0"/>
          <w:sz w:val="21"/>
          <w:szCs w:val="21"/>
        </w:rPr>
        <w:t>p-ERK</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CREB</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PTN</w:t>
      </w:r>
      <w:r>
        <w:rPr>
          <w:rStyle w:val="any"/>
          <w:rFonts w:ascii="PMingLiU" w:eastAsia="PMingLiU" w:hAnsi="PMingLiU" w:cs="PMingLiU"/>
          <w:b w:val="0"/>
          <w:bCs w:val="0"/>
          <w:i w:val="0"/>
          <w:iCs w:val="0"/>
          <w:caps w:val="0"/>
          <w:color w:val="404040"/>
          <w:spacing w:val="0"/>
          <w:sz w:val="21"/>
          <w:szCs w:val="21"/>
        </w:rPr>
        <w:t>等）的表达。研究结论认为，肝素可能成为一种有前景的神经保护剂，但其具体机制仍需进一步验证。</w:t>
      </w:r>
    </w:p>
    <w:p>
      <w:pPr>
        <w:pStyle w:val="p"/>
        <w:widowControl/>
        <w:pBdr>
          <w:top w:val="none" w:sz="0" w:space="0" w:color="auto"/>
          <w:left w:val="none" w:sz="0" w:space="0" w:color="auto"/>
          <w:bottom w:val="none" w:sz="0" w:space="0" w:color="auto"/>
          <w:right w:val="none" w:sz="0" w:space="0" w:color="auto"/>
        </w:pBdr>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1"/>
          <w:szCs w:val="21"/>
        </w:rPr>
        <w:t>然而，该研究在发表后因</w:t>
      </w:r>
      <w:r>
        <w:rPr>
          <w:rStyle w:val="any"/>
          <w:rFonts w:ascii="PMingLiU" w:eastAsia="PMingLiU" w:hAnsi="PMingLiU" w:cs="PMingLiU"/>
          <w:b/>
          <w:bCs/>
          <w:i w:val="0"/>
          <w:iCs w:val="0"/>
          <w:caps w:val="0"/>
          <w:color w:val="404040"/>
          <w:spacing w:val="0"/>
          <w:sz w:val="21"/>
          <w:szCs w:val="21"/>
        </w:rPr>
        <w:t>数据真实性</w:t>
      </w:r>
      <w:r>
        <w:rPr>
          <w:rStyle w:val="any"/>
          <w:rFonts w:ascii="PMingLiU" w:eastAsia="PMingLiU" w:hAnsi="PMingLiU" w:cs="PMingLiU"/>
          <w:b w:val="0"/>
          <w:bCs w:val="0"/>
          <w:i w:val="0"/>
          <w:iCs w:val="0"/>
          <w:caps w:val="0"/>
          <w:color w:val="404040"/>
          <w:spacing w:val="0"/>
          <w:sz w:val="21"/>
          <w:szCs w:val="21"/>
        </w:rPr>
        <w:t>和</w:t>
      </w:r>
      <w:r>
        <w:rPr>
          <w:rStyle w:val="any"/>
          <w:rFonts w:ascii="PMingLiU" w:eastAsia="PMingLiU" w:hAnsi="PMingLiU" w:cs="PMingLiU"/>
          <w:b/>
          <w:bCs/>
          <w:i w:val="0"/>
          <w:iCs w:val="0"/>
          <w:caps w:val="0"/>
          <w:color w:val="404040"/>
          <w:spacing w:val="0"/>
          <w:sz w:val="21"/>
          <w:szCs w:val="21"/>
        </w:rPr>
        <w:t>学术诚信问题</w:t>
      </w:r>
      <w:r>
        <w:rPr>
          <w:rStyle w:val="any"/>
          <w:rFonts w:ascii="PMingLiU" w:eastAsia="PMingLiU" w:hAnsi="PMingLiU" w:cs="PMingLiU"/>
          <w:b w:val="0"/>
          <w:bCs w:val="0"/>
          <w:i w:val="0"/>
          <w:iCs w:val="0"/>
          <w:caps w:val="0"/>
          <w:color w:val="404040"/>
          <w:spacing w:val="0"/>
          <w:sz w:val="21"/>
          <w:szCs w:val="21"/>
        </w:rPr>
        <w:t>受到质疑，最终于</w:t>
      </w:r>
      <w:r>
        <w:rPr>
          <w:rStyle w:val="any"/>
          <w:rFonts w:ascii="Segoe UI" w:eastAsia="Segoe UI" w:hAnsi="Segoe UI" w:cs="Segoe UI"/>
          <w:b/>
          <w:bCs/>
          <w:i w:val="0"/>
          <w:iCs w:val="0"/>
          <w:caps w:val="0"/>
          <w:color w:val="404040"/>
          <w:spacing w:val="0"/>
          <w:sz w:val="21"/>
          <w:szCs w:val="21"/>
        </w:rPr>
        <w:t>2025</w:t>
      </w:r>
      <w:r>
        <w:rPr>
          <w:rStyle w:val="any"/>
          <w:rFonts w:ascii="PMingLiU" w:eastAsia="PMingLiU" w:hAnsi="PMingLiU" w:cs="PMingLiU"/>
          <w:b/>
          <w:bCs/>
          <w:i w:val="0"/>
          <w:iCs w:val="0"/>
          <w:caps w:val="0"/>
          <w:color w:val="404040"/>
          <w:spacing w:val="0"/>
          <w:sz w:val="21"/>
          <w:szCs w:val="21"/>
        </w:rPr>
        <w:t>年</w:t>
      </w:r>
      <w:r>
        <w:rPr>
          <w:rStyle w:val="any"/>
          <w:rFonts w:ascii="Segoe UI" w:eastAsia="Segoe UI" w:hAnsi="Segoe UI" w:cs="Segoe UI"/>
          <w:b/>
          <w:bCs/>
          <w:i w:val="0"/>
          <w:iCs w:val="0"/>
          <w:caps w:val="0"/>
          <w:color w:val="404040"/>
          <w:spacing w:val="0"/>
          <w:sz w:val="21"/>
          <w:szCs w:val="21"/>
        </w:rPr>
        <w:t>4</w:t>
      </w:r>
      <w:r>
        <w:rPr>
          <w:rStyle w:val="any"/>
          <w:rFonts w:ascii="PMingLiU" w:eastAsia="PMingLiU" w:hAnsi="PMingLiU" w:cs="PMingLiU"/>
          <w:b/>
          <w:bCs/>
          <w:i w:val="0"/>
          <w:iCs w:val="0"/>
          <w:caps w:val="0"/>
          <w:color w:val="404040"/>
          <w:spacing w:val="0"/>
          <w:sz w:val="21"/>
          <w:szCs w:val="21"/>
        </w:rPr>
        <w:t>月</w:t>
      </w:r>
      <w:r>
        <w:rPr>
          <w:rStyle w:val="any"/>
          <w:rFonts w:ascii="Segoe UI" w:eastAsia="Segoe UI" w:hAnsi="Segoe UI" w:cs="Segoe UI"/>
          <w:b/>
          <w:bCs/>
          <w:i w:val="0"/>
          <w:iCs w:val="0"/>
          <w:caps w:val="0"/>
          <w:color w:val="404040"/>
          <w:spacing w:val="0"/>
          <w:sz w:val="21"/>
          <w:szCs w:val="21"/>
        </w:rPr>
        <w:t>9</w:t>
      </w:r>
      <w:r>
        <w:rPr>
          <w:rStyle w:val="any"/>
          <w:rFonts w:ascii="PMingLiU" w:eastAsia="PMingLiU" w:hAnsi="PMingLiU" w:cs="PMingLiU"/>
          <w:b/>
          <w:bCs/>
          <w:i w:val="0"/>
          <w:iCs w:val="0"/>
          <w:caps w:val="0"/>
          <w:color w:val="404040"/>
          <w:spacing w:val="0"/>
          <w:sz w:val="21"/>
          <w:szCs w:val="21"/>
        </w:rPr>
        <w:t>日被期刊撤稿</w:t>
      </w:r>
      <w:r>
        <w:rPr>
          <w:rStyle w:val="any"/>
          <w:rFonts w:ascii="PMingLiU" w:eastAsia="PMingLiU" w:hAnsi="PMingLiU" w:cs="PMingLiU"/>
          <w:b w:val="0"/>
          <w:bCs w:val="0"/>
          <w:i w:val="0"/>
          <w:iCs w:val="0"/>
          <w:caps w:val="0"/>
          <w:color w:val="404040"/>
          <w:spacing w:val="0"/>
          <w:sz w:val="21"/>
          <w:szCs w:val="21"/>
        </w:rPr>
        <w:t>。</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2570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2682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0131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891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87626"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numPr>
          <w:ilvl w:val="0"/>
          <w:numId w:val="1"/>
        </w:numPr>
        <w:pBdr>
          <w:top w:val="none" w:sz="0" w:space="0" w:color="auto"/>
          <w:left w:val="none" w:sz="0" w:space="0" w:color="auto"/>
          <w:bottom w:val="none" w:sz="0" w:space="0" w:color="auto"/>
          <w:right w:val="none" w:sz="0" w:space="0" w:color="auto"/>
        </w:pBdr>
        <w:spacing w:before="15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在</w:t>
      </w:r>
      <w:r>
        <w:rPr>
          <w:rStyle w:val="any"/>
          <w:rFonts w:ascii="Segoe UI" w:eastAsia="Segoe UI" w:hAnsi="Segoe UI" w:cs="Segoe UI"/>
          <w:b w:val="0"/>
          <w:bCs w:val="0"/>
          <w:i w:val="0"/>
          <w:iCs w:val="0"/>
          <w:caps w:val="0"/>
          <w:color w:val="404040"/>
          <w:spacing w:val="0"/>
          <w:sz w:val="21"/>
          <w:szCs w:val="21"/>
        </w:rPr>
        <w:t>PubPeer</w:t>
      </w:r>
      <w:r>
        <w:rPr>
          <w:rStyle w:val="any"/>
          <w:rFonts w:ascii="PMingLiU" w:eastAsia="PMingLiU" w:hAnsi="PMingLiU" w:cs="PMingLiU"/>
          <w:b w:val="0"/>
          <w:bCs w:val="0"/>
          <w:i w:val="0"/>
          <w:iCs w:val="0"/>
          <w:caps w:val="0"/>
          <w:color w:val="404040"/>
          <w:spacing w:val="0"/>
          <w:sz w:val="21"/>
          <w:szCs w:val="21"/>
        </w:rPr>
        <w:t>发表评论：</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期刊编辑宣布撤稿，原因是</w:t>
      </w:r>
      <w:r>
        <w:rPr>
          <w:rStyle w:val="any"/>
          <w:rFonts w:ascii="PMingLiU" w:eastAsia="PMingLiU" w:hAnsi="PMingLiU" w:cs="PMingLiU"/>
          <w:b w:val="0"/>
          <w:bCs w:val="0"/>
          <w:i w:val="0"/>
          <w:iCs w:val="0"/>
          <w:caps w:val="0"/>
          <w:color w:val="404040"/>
          <w:spacing w:val="0"/>
          <w:sz w:val="21"/>
          <w:szCs w:val="21"/>
        </w:rPr>
        <w:t>通讯作者以</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作者利益冲突</w:t>
      </w:r>
      <w:r>
        <w:rPr>
          <w:rStyle w:val="any"/>
          <w:rFonts w:ascii="Segoe UI" w:eastAsia="Segoe UI" w:hAnsi="Segoe UI" w:cs="Segoe UI"/>
          <w:b w:val="0"/>
          <w:bCs w:val="0"/>
          <w:i w:val="0"/>
          <w:iCs w:val="0"/>
          <w:caps w:val="0"/>
          <w:color w:val="404040"/>
          <w:spacing w:val="0"/>
          <w:sz w:val="21"/>
          <w:szCs w:val="21"/>
        </w:rPr>
        <w:t>”</w:t>
      </w:r>
      <w:r>
        <w:rPr>
          <w:rStyle w:val="any"/>
          <w:rFonts w:ascii="PMingLiU" w:eastAsia="PMingLiU" w:hAnsi="PMingLiU" w:cs="PMingLiU"/>
          <w:b w:val="0"/>
          <w:bCs w:val="0"/>
          <w:i w:val="0"/>
          <w:iCs w:val="0"/>
          <w:caps w:val="0"/>
          <w:color w:val="404040"/>
          <w:spacing w:val="0"/>
          <w:sz w:val="21"/>
          <w:szCs w:val="21"/>
        </w:rPr>
        <w:t>为由申请撤稿，但未提供具体细节</w:t>
      </w:r>
      <w:r>
        <w:rPr>
          <w:rStyle w:val="any"/>
          <w:rFonts w:ascii="PMingLiU" w:eastAsia="PMingLiU" w:hAnsi="PMingLiU" w:cs="PMingLiU"/>
          <w:b w:val="0"/>
          <w:bCs w:val="0"/>
          <w:i w:val="0"/>
          <w:iCs w:val="0"/>
          <w:caps w:val="0"/>
          <w:color w:val="404040"/>
          <w:spacing w:val="0"/>
          <w:sz w:val="21"/>
          <w:szCs w:val="21"/>
        </w:rPr>
        <w:t>。</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调查发现，</w:t>
      </w:r>
      <w:r>
        <w:rPr>
          <w:rStyle w:val="any"/>
          <w:rFonts w:ascii="PMingLiU" w:eastAsia="PMingLiU" w:hAnsi="PMingLiU" w:cs="PMingLiU"/>
          <w:b w:val="0"/>
          <w:bCs w:val="0"/>
          <w:i w:val="0"/>
          <w:iCs w:val="0"/>
          <w:caps w:val="0"/>
          <w:color w:val="404040"/>
          <w:spacing w:val="0"/>
          <w:sz w:val="21"/>
          <w:szCs w:val="21"/>
        </w:rPr>
        <w:t>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中的</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条带存在重复使用</w:t>
      </w:r>
      <w:r>
        <w:rPr>
          <w:rStyle w:val="any"/>
          <w:rFonts w:ascii="PMingLiU" w:eastAsia="PMingLiU" w:hAnsi="PMingLiU" w:cs="PMingLiU"/>
          <w:b w:val="0"/>
          <w:bCs w:val="0"/>
          <w:i w:val="0"/>
          <w:iCs w:val="0"/>
          <w:caps w:val="0"/>
          <w:color w:val="404040"/>
          <w:spacing w:val="0"/>
          <w:sz w:val="21"/>
          <w:szCs w:val="21"/>
        </w:rPr>
        <w:t>（两条带高度相似），但作者未能按要求提供原始数据。</w:t>
      </w:r>
    </w:p>
    <w:p>
      <w:pPr>
        <w:pStyle w:val="p"/>
        <w:widowControl/>
        <w:numPr>
          <w:ilvl w:val="1"/>
          <w:numId w:val="1"/>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主编因对研究可信度失去信心，决定撤稿</w:t>
      </w:r>
      <w:r>
        <w:rPr>
          <w:rStyle w:val="any"/>
          <w:rFonts w:ascii="PMingLiU" w:eastAsia="PMingLiU" w:hAnsi="PMingLiU" w:cs="PMingLiU"/>
          <w:b w:val="0"/>
          <w:bCs w:val="0"/>
          <w:i w:val="0"/>
          <w:iCs w:val="0"/>
          <w:caps w:val="0"/>
          <w:color w:val="404040"/>
          <w:spacing w:val="0"/>
          <w:sz w:val="21"/>
          <w:szCs w:val="21"/>
        </w:rPr>
        <w:t>。</w:t>
      </w:r>
    </w:p>
    <w:p>
      <w:pPr>
        <w:pStyle w:val="p"/>
        <w:widowControl/>
        <w:numPr>
          <w:ilvl w:val="0"/>
          <w:numId w:val="1"/>
        </w:numPr>
        <w:pBdr>
          <w:top w:val="none" w:sz="0" w:space="0" w:color="auto"/>
          <w:left w:val="none" w:sz="0" w:space="0" w:color="auto"/>
          <w:bottom w:val="none" w:sz="0" w:space="0" w:color="auto"/>
          <w:right w:val="none" w:sz="0" w:space="0" w:color="auto"/>
        </w:pBdr>
        <w:spacing w:before="60" w:after="60" w:line="368" w:lineRule="atLeast"/>
        <w:ind w:left="540" w:right="540" w:hanging="258"/>
        <w:jc w:val="both"/>
        <w:rPr>
          <w:rStyle w:val="any"/>
          <w:rFonts w:ascii="Segoe UI" w:eastAsia="Segoe UI" w:hAnsi="Segoe UI" w:cs="Segoe UI"/>
          <w:b w:val="0"/>
          <w:bCs w:val="0"/>
          <w:i w:val="0"/>
          <w:iCs w:val="0"/>
          <w:caps w:val="0"/>
          <w:color w:val="404040"/>
          <w:spacing w:val="0"/>
          <w:sz w:val="21"/>
          <w:szCs w:val="21"/>
        </w:rPr>
      </w:pPr>
      <w:r>
        <w:rPr>
          <w:rStyle w:val="any"/>
          <w:rFonts w:ascii="Segoe UI" w:eastAsia="Segoe UI" w:hAnsi="Segoe UI" w:cs="Segoe UI"/>
          <w:b w:val="0"/>
          <w:bCs w:val="0"/>
          <w:i w:val="0"/>
          <w:iCs w:val="0"/>
          <w:caps w:val="0"/>
          <w:color w:val="404040"/>
          <w:spacing w:val="0"/>
          <w:sz w:val="21"/>
          <w:szCs w:val="21"/>
        </w:rPr>
        <w:t>2025</w:t>
      </w:r>
      <w:r>
        <w:rPr>
          <w:rStyle w:val="any"/>
          <w:rFonts w:ascii="PMingLiU" w:eastAsia="PMingLiU" w:hAnsi="PMingLiU" w:cs="PMingLiU"/>
          <w:b w:val="0"/>
          <w:bCs w:val="0"/>
          <w:i w:val="0"/>
          <w:iCs w:val="0"/>
          <w:caps w:val="0"/>
          <w:color w:val="404040"/>
          <w:spacing w:val="0"/>
          <w:sz w:val="21"/>
          <w:szCs w:val="21"/>
        </w:rPr>
        <w:t>年</w:t>
      </w:r>
      <w:r>
        <w:rPr>
          <w:rStyle w:val="any"/>
          <w:rFonts w:ascii="Segoe UI" w:eastAsia="Segoe UI" w:hAnsi="Segoe UI" w:cs="Segoe UI"/>
          <w:b w:val="0"/>
          <w:bCs w:val="0"/>
          <w:i w:val="0"/>
          <w:iCs w:val="0"/>
          <w:caps w:val="0"/>
          <w:color w:val="404040"/>
          <w:spacing w:val="0"/>
          <w:sz w:val="21"/>
          <w:szCs w:val="21"/>
        </w:rPr>
        <w:t>4</w:t>
      </w:r>
      <w:r>
        <w:rPr>
          <w:rStyle w:val="any"/>
          <w:rFonts w:ascii="PMingLiU" w:eastAsia="PMingLiU" w:hAnsi="PMingLiU" w:cs="PMingLiU"/>
          <w:b w:val="0"/>
          <w:bCs w:val="0"/>
          <w:i w:val="0"/>
          <w:iCs w:val="0"/>
          <w:caps w:val="0"/>
          <w:color w:val="404040"/>
          <w:spacing w:val="0"/>
          <w:sz w:val="21"/>
          <w:szCs w:val="21"/>
        </w:rPr>
        <w:t>月</w:t>
      </w:r>
      <w:r>
        <w:rPr>
          <w:rStyle w:val="any"/>
          <w:rFonts w:ascii="PMingLiU" w:eastAsia="PMingLiU" w:hAnsi="PMingLiU" w:cs="PMingLiU"/>
          <w:b w:val="0"/>
          <w:bCs w:val="0"/>
          <w:i w:val="0"/>
          <w:iCs w:val="0"/>
          <w:caps w:val="0"/>
          <w:color w:val="404040"/>
          <w:spacing w:val="0"/>
          <w:sz w:val="21"/>
          <w:szCs w:val="21"/>
        </w:rPr>
        <w:t>，</w:t>
      </w:r>
      <w:r>
        <w:rPr>
          <w:rStyle w:val="any"/>
          <w:rFonts w:ascii="Segoe UI" w:eastAsia="Segoe UI" w:hAnsi="Segoe UI" w:cs="Segoe UI"/>
          <w:b w:val="0"/>
          <w:bCs w:val="0"/>
          <w:i w:val="0"/>
          <w:iCs w:val="0"/>
          <w:caps w:val="0"/>
          <w:color w:val="404040"/>
          <w:spacing w:val="0"/>
          <w:sz w:val="21"/>
          <w:szCs w:val="21"/>
        </w:rPr>
        <w:t>Hoya camphorifolia</w:t>
      </w:r>
      <w:r>
        <w:rPr>
          <w:rStyle w:val="any"/>
          <w:rFonts w:ascii="PMingLiU" w:eastAsia="PMingLiU" w:hAnsi="PMingLiU" w:cs="PMingLiU"/>
          <w:b w:val="0"/>
          <w:bCs w:val="0"/>
          <w:i w:val="0"/>
          <w:iCs w:val="0"/>
          <w:caps w:val="0"/>
          <w:color w:val="404040"/>
          <w:spacing w:val="0"/>
          <w:sz w:val="21"/>
          <w:szCs w:val="21"/>
        </w:rPr>
        <w:t>进一步指出：</w:t>
      </w:r>
    </w:p>
    <w:p>
      <w:pPr>
        <w:pStyle w:val="p"/>
        <w:widowControl/>
        <w:numPr>
          <w:ilvl w:val="1"/>
          <w:numId w:val="2"/>
        </w:numPr>
        <w:pBdr>
          <w:top w:val="none" w:sz="0" w:space="0" w:color="auto"/>
          <w:left w:val="none" w:sz="0" w:space="0" w:color="auto"/>
          <w:bottom w:val="none" w:sz="0" w:space="0" w:color="auto"/>
          <w:right w:val="none" w:sz="0" w:space="0" w:color="auto"/>
        </w:pBdr>
        <w:spacing w:before="60" w:after="0" w:line="368" w:lineRule="atLeast"/>
        <w:ind w:left="540" w:right="540" w:hanging="226"/>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不仅图</w:t>
      </w:r>
      <w:r>
        <w:rPr>
          <w:rStyle w:val="any"/>
          <w:rFonts w:ascii="Segoe UI" w:eastAsia="Segoe UI" w:hAnsi="Segoe UI" w:cs="Segoe UI"/>
          <w:b w:val="0"/>
          <w:bCs w:val="0"/>
          <w:i w:val="0"/>
          <w:iCs w:val="0"/>
          <w:caps w:val="0"/>
          <w:color w:val="404040"/>
          <w:spacing w:val="0"/>
          <w:sz w:val="21"/>
          <w:szCs w:val="21"/>
        </w:rPr>
        <w:t>4C</w:t>
      </w:r>
      <w:r>
        <w:rPr>
          <w:rStyle w:val="any"/>
          <w:rFonts w:ascii="PMingLiU" w:eastAsia="PMingLiU" w:hAnsi="PMingLiU" w:cs="PMingLiU"/>
          <w:b w:val="0"/>
          <w:bCs w:val="0"/>
          <w:i w:val="0"/>
          <w:iCs w:val="0"/>
          <w:caps w:val="0"/>
          <w:color w:val="404040"/>
          <w:spacing w:val="0"/>
          <w:sz w:val="21"/>
          <w:szCs w:val="21"/>
        </w:rPr>
        <w:t>存在重复条带，</w:t>
      </w:r>
      <w:r>
        <w:rPr>
          <w:rStyle w:val="any"/>
          <w:rFonts w:ascii="PMingLiU" w:eastAsia="PMingLiU" w:hAnsi="PMingLiU" w:cs="PMingLiU"/>
          <w:b w:val="0"/>
          <w:bCs w:val="0"/>
          <w:i w:val="0"/>
          <w:iCs w:val="0"/>
          <w:caps w:val="0"/>
          <w:color w:val="404040"/>
          <w:spacing w:val="0"/>
          <w:sz w:val="21"/>
          <w:szCs w:val="21"/>
        </w:rPr>
        <w:t>所有</w:t>
      </w:r>
      <w:r>
        <w:rPr>
          <w:rStyle w:val="any"/>
          <w:rFonts w:ascii="Segoe UI" w:eastAsia="Segoe UI" w:hAnsi="Segoe UI" w:cs="Segoe UI"/>
          <w:b w:val="0"/>
          <w:bCs w:val="0"/>
          <w:i w:val="0"/>
          <w:iCs w:val="0"/>
          <w:caps w:val="0"/>
          <w:color w:val="404040"/>
          <w:spacing w:val="0"/>
          <w:sz w:val="21"/>
          <w:szCs w:val="21"/>
        </w:rPr>
        <w:t>Western blot</w:t>
      </w:r>
      <w:r>
        <w:rPr>
          <w:rStyle w:val="any"/>
          <w:rFonts w:ascii="PMingLiU" w:eastAsia="PMingLiU" w:hAnsi="PMingLiU" w:cs="PMingLiU"/>
          <w:b w:val="0"/>
          <w:bCs w:val="0"/>
          <w:i w:val="0"/>
          <w:iCs w:val="0"/>
          <w:caps w:val="0"/>
          <w:color w:val="404040"/>
          <w:spacing w:val="0"/>
          <w:sz w:val="21"/>
          <w:szCs w:val="21"/>
        </w:rPr>
        <w:t>条带的真实性均值得怀疑</w:t>
      </w:r>
      <w:r>
        <w:rPr>
          <w:rStyle w:val="any"/>
          <w:rFonts w:ascii="PMingLiU" w:eastAsia="PMingLiU" w:hAnsi="PMingLiU" w:cs="PMingLiU"/>
          <w:b w:val="0"/>
          <w:bCs w:val="0"/>
          <w:i w:val="0"/>
          <w:iCs w:val="0"/>
          <w:caps w:val="0"/>
          <w:color w:val="404040"/>
          <w:spacing w:val="0"/>
          <w:sz w:val="21"/>
          <w:szCs w:val="21"/>
        </w:rPr>
        <w:t>，暗示可能存在数据篡改或伪造。</w:t>
      </w:r>
    </w:p>
    <w:p>
      <w:pPr>
        <w:pStyle w:val="p"/>
        <w:widowControl/>
        <w:pBdr>
          <w:top w:val="none" w:sz="0" w:space="0" w:color="auto"/>
          <w:left w:val="none" w:sz="0" w:space="0" w:color="auto"/>
          <w:bottom w:val="none" w:sz="0" w:space="0" w:color="auto"/>
          <w:right w:val="none" w:sz="0" w:space="0" w:color="auto"/>
        </w:pBdr>
        <w:spacing w:before="0" w:after="0" w:line="368" w:lineRule="atLeast"/>
        <w:ind w:left="540" w:right="540" w:firstLine="0"/>
        <w:jc w:val="both"/>
        <w:rPr>
          <w:rStyle w:val="any"/>
          <w:rFonts w:ascii="Segoe UI" w:eastAsia="Segoe UI" w:hAnsi="Segoe UI" w:cs="Segoe UI"/>
          <w:b w:val="0"/>
          <w:bCs w:val="0"/>
          <w:i w:val="0"/>
          <w:iCs w:val="0"/>
          <w:caps w:val="0"/>
          <w:color w:val="404040"/>
          <w:spacing w:val="0"/>
          <w:sz w:val="21"/>
          <w:szCs w:val="21"/>
        </w:rPr>
      </w:pPr>
      <w:r>
        <w:rPr>
          <w:rStyle w:val="any"/>
          <w:rFonts w:ascii="PMingLiU" w:eastAsia="PMingLiU" w:hAnsi="PMingLiU" w:cs="PMingLiU"/>
          <w:b w:val="0"/>
          <w:bCs w:val="0"/>
          <w:i w:val="0"/>
          <w:iCs w:val="0"/>
          <w:caps w:val="0"/>
          <w:color w:val="404040"/>
          <w:spacing w:val="0"/>
          <w:sz w:val="21"/>
          <w:szCs w:val="21"/>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14837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35318" name=""/>
                    <pic:cNvPicPr>
                      <a:picLocks noChangeAspect="1"/>
                    </pic:cNvPicPr>
                  </pic:nvPicPr>
                  <pic:blipFill>
                    <a:blip xmlns:r="http://schemas.openxmlformats.org/officeDocument/2006/relationships" r:embed="rId12"/>
                    <a:stretch>
                      <a:fillRect/>
                    </a:stretch>
                  </pic:blipFill>
                  <pic:spPr>
                    <a:xfrm>
                      <a:off x="0" y="0"/>
                      <a:ext cx="5486400" cy="314837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342319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02424" name=""/>
                    <pic:cNvPicPr>
                      <a:picLocks noChangeAspect="1"/>
                    </pic:cNvPicPr>
                  </pic:nvPicPr>
                  <pic:blipFill>
                    <a:blip xmlns:r="http://schemas.openxmlformats.org/officeDocument/2006/relationships" r:embed="rId13"/>
                    <a:stretch>
                      <a:fillRect/>
                    </a:stretch>
                  </pic:blipFill>
                  <pic:spPr>
                    <a:xfrm>
                      <a:off x="0" y="0"/>
                      <a:ext cx="5486400" cy="3423195"/>
                    </a:xfrm>
                    <a:prstGeom prst="rect">
                      <a:avLst/>
                    </a:prstGeom>
                  </pic:spPr>
                </pic:pic>
              </a:graphicData>
            </a:graphic>
          </wp:inline>
        </w:drawing>
      </w:r>
    </w:p>
    <w:p>
      <w:pP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https://pubpeer.com/publications/D21A4A204883B56928E827535FDEA1#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5" w:anchor="wechat_redirect" w:tgtFrame="_blank" w:history="1">
        <w:r>
          <w:rPr>
            <w:rStyle w:val="a"/>
            <w:rFonts w:ascii="PMingLiU" w:eastAsia="PMingLiU" w:hAnsi="PMingLiU" w:cs="PMingLiU"/>
            <w:spacing w:val="8"/>
            <w:sz w:val="21"/>
            <w:szCs w:val="21"/>
          </w:rPr>
          <w:t>公告：关于删除本平台推文的方法介绍！</w:t>
        </w:r>
      </w:hyperlink>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https://mp.weixin.qq.com/s?__biz=MzU5OTAzNzQ5Nw==&amp;mid=2247484860&amp;idx=1&amp;sn=0fb2b770a5f98d730df24f440e596fff&amp;scene=21" TargetMode="External" /><Relationship Id="rId15" Type="http://schemas.openxmlformats.org/officeDocument/2006/relationships/hyperlink" Target="https://mp.weixin.qq.com/s?__biz=MzU5OTAzNzQ5Nw==&amp;mid=2247485312&amp;idx=1&amp;sn=4f28fcd45a6cd208e8330d0e26f89890&amp;scene=21" TargetMode="Externa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57&amp;idx=1&amp;sn=aa1a8c4430edd97fdc4c4126adfc99b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