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温州医科大学药学院前院长梁广博士陷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风波：重复图像是否动摇科学性？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14:28:46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39481" cy="51346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65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温州医科大学药学院研究遭质疑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近日，温州医科大学药学院的两篇关于姜黄素衍生物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WZ35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抗癌机制的研究论文因图像重复问题引发关注。这两篇论文分别由国家自然科学基金优秀青年基金（优青）获得者、原药学院院长、现任杭州医学院校长梁广博士（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Guang Liang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）团队主导，研究内容聚焦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“ROS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依赖的内质网应激机制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在肿瘤细胞死亡中的作用。然而，有国际学术诚信监督者指出，这些研究中存在免疫印迹图像重复或误用的现象。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Curcumin derivative WZ35 efficiently suppresses colon cancer progression through inducing ROS production and ER stressdependent apoptosis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姜黄素衍生物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WZ35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ROS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产生和内质网应激依赖性凋亡有效抑制结肠癌进展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第一作者：张君如（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Junru Zhang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通讯作者：蔡璐（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Lu Cai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，温州医科大学药学院）、梁广（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Guang Liang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第一单位：温州医科大学药学院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4924425" cy="1790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25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Curcumin analog WZ35 induced cell death via ROSdependent ER stress and G2/M cell cycle arrest in human prostate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姜黄素类似物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WZ35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ROS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依赖性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ER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应激和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G2/M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细胞周期停滞诱导人类前列腺癌细胞死亡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第一作者：张秀华（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Xiuhua Zhang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通讯作者：贺浪冲（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Langchong He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，西安交通大学医学部药学院）、梁广（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Guang Liang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，温州医科大学药学院）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第一单位：温州医科大学药学院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合作单位：西安交通大学医学部药学院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438775" cy="2133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6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研究内容遭质疑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2025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4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指出，论文《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Scientific Reports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2017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）中图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3B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的两个凝胶切片存在高度相似性，并要求作者提供原始未裁剪的扫描图。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4905375" cy="3876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56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同月，评论人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Ponapea palauensis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指出，《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Oncotarget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2015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）论文中的图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5A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可能重复使用了之前研究中的图像，特别是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“CHOP”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免疫印迹条带。评论人质疑该图像的真实性，并要求进一步解释。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105400" cy="24860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75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针对论文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梁广博士代表团队回复评论人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亲爱的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感谢您指出图像中存在重叠的免疫印迹条带。我们检查了原始免疫印迹图，发现文章中所示的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“Cyclin B1”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条带确实有误。这个错误发生在我们整理和可视化数据过程中。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我们确认，这一错误不会影响本研究的最终结论和科学性。我们将尽快联系该期刊编辑，申请发表更正声明（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corrigendum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）。再次感谢您的指出。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针对论文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梁广博士针对评论人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Ponapea palauensis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的质疑作出以下回应：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亲爱的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Ponapea palauensis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感谢您指出我们先前论文中存在的免疫印迹图像重叠问题。我们已经检查了原始图像，发现《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》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年文章中图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5A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“CHOP”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免疫印迹条带有误。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这两项研究均围绕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“ROS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依赖的内质网应激机制在抗癌药理中的作用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展开，主要由同一批研究生在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2013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至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年间完成。由于在相近时间内处理大量相似数据，导致数据整理和可视化过程中发生了错误。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225" w:after="225" w:line="360" w:lineRule="atLeast"/>
        <w:ind w:left="825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经过仔细评估，我们确认该错误不会影响《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》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年研究的最终结论及其科学性。我们将尽快联系《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》期刊编辑，申请发表更正声明（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  <w:sz w:val="23"/>
          <w:szCs w:val="23"/>
        </w:rPr>
        <w:t>corrigendum</w:t>
      </w:r>
      <w:r>
        <w:rPr>
          <w:rStyle w:val="any"/>
          <w:rFonts w:ascii="PMingLiU" w:eastAsia="PMingLiU" w:hAnsi="PMingLiU" w:cs="PMingLiU"/>
          <w:color w:val="7B7B7B"/>
          <w:spacing w:val="8"/>
          <w:sz w:val="23"/>
          <w:szCs w:val="23"/>
        </w:rPr>
        <w:t>）。再次感谢您的指出。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__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https://pubpeer.com/publications/674450A3FBB36EC55A14E384276D92#0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https://pubpeer.com/publications/9DD431601563E7008699D2B453631D#0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Pubmed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41&amp;idx=1&amp;sn=1a95b0d5ca38dcd4ae46a21dc0bc81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