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南京医科大学和东南大学联合研究成果遭质疑：是科学突破还是数据问题？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14:30:50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39481" cy="51346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673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51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第一作者：严丽红（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Lihong Yan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，南京医科大学）、张欣（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Xin Zhang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，南京医科大学）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通讯作者：李菊雪（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Juxue Li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，南京医科大学）、刘安（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An Liu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，东南大学）、蒋琴（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Qin Jiang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，南京医科大学附属眼科医院）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第一单位：南京医科大学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合作单位：南京医科大学附属眼科医院、东南大学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2025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3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8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日，南京医科大学、南京医科大学附属眼科医院以及东南大学在国际知名期刊《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color w:val="7B7B7B"/>
          <w:spacing w:val="8"/>
        </w:rPr>
        <w:t>》（中科院一区，影响因子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14.7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）上联合发表了题为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“ARCCRABP1 neurons play a crucial role in the regulation of energy homeostasis”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（《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ARCCRABP1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神经元在调节能量平衡中的关键作用》）的研究论文。该研究揭示了一类神经元在调节能量平衡中的重要生理功能，受到国内外多方科研基金支持。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本研究得到了包括国家重点研发计划非传染性慢性病专项、国家自然科学基金、中国青年千人计划、南京医科大学启动基金等多项资助，还获得了江苏省创新人才、创新创业团队计划及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“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科技创新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2030</w:t>
      </w:r>
      <w:r>
        <w:rPr>
          <w:rStyle w:val="any"/>
          <w:rFonts w:ascii="PMingLiU" w:eastAsia="PMingLiU" w:hAnsi="PMingLiU" w:cs="PMingLiU"/>
          <w:color w:val="7B7B7B"/>
          <w:spacing w:val="8"/>
        </w:rPr>
        <w:t>重大项目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”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等项目的支持。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7B7B7B"/>
          <w:spacing w:val="8"/>
          <w:u w:val="none"/>
        </w:rPr>
        <w:drawing>
          <wp:inline>
            <wp:extent cx="5486400" cy="71019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24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近期，该论文的图表内容受到了一些研究者的质疑，尤其是关于论文中的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“Figure 2b”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数据表现。一些质疑的具体内容如下：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2b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声称验证了实验策略，显示在注射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AAVDIOCaspase3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的实验鼠下丘脑弓状核（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ARC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）中没有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CRABP1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mCherry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的表达。然而，质疑者指出，图中左下角的两个面板几乎没有荧光背景，其中一个面板甚至看不到明显的脑组织结构。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以下是质疑者提供的增强版本的图像：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7B7B7B"/>
          <w:spacing w:val="8"/>
          <w:u w:val="none"/>
        </w:rPr>
        <w:drawing>
          <wp:inline>
            <wp:extent cx="5486400" cy="267814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782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增强图像：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7B7B7B"/>
          <w:spacing w:val="8"/>
          <w:u w:val="none"/>
        </w:rPr>
        <w:drawing>
          <wp:inline>
            <wp:extent cx="5486400" cy="2646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94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__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https://pubpeer.com/publications/C574624250BED01A5486301A802BC4#1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color w:val="7B7B7B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Pubmed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 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 </w:t>
      </w:r>
      <w:r>
        <w:rPr>
          <w:rStyle w:val="any"/>
          <w:rFonts w:ascii="PMingLiU" w:eastAsia="PMingLiU" w:hAnsi="PMingLiU" w:cs="PMingLiU"/>
          <w:color w:val="7B7B7B"/>
          <w:spacing w:val="8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7B7B7B"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7B7B7B"/>
          <w:spacing w:val="8"/>
        </w:rPr>
        <w:t>3970604145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344&amp;idx=1&amp;sn=ed879d23ee0a2f05cb7bd9e7d5f86f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