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不可调和的争议？安阳肿瘤医院胸三科副主任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Mingfei Geng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（音译：耿名飞）团队论文被撤稿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18:27:24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87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2024年11月22日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微软雅黑" w:eastAsia="微软雅黑" w:hAnsi="微软雅黑" w:cs="微软雅黑"/>
          <w:spacing w:val="8"/>
        </w:rPr>
        <w:t>Prediction of the Survival Status, Immunotherapy Response, and Medication of Lung Adenocarcinoma Patients Based on Hypoxia- and Apoptosis-Related Genes（基于缺氧和凋亡相关基因预测肺腺癌患者的生存状态、免疫治疗反应和用药）的论文在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微软雅黑" w:eastAsia="微软雅黑" w:hAnsi="微软雅黑" w:cs="微软雅黑"/>
          <w:spacing w:val="8"/>
        </w:rPr>
        <w:t>Hormone and Metabolic Research》期刊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</w:t>
      </w:r>
      <w:r>
        <w:rPr>
          <w:rStyle w:val="any"/>
          <w:rFonts w:ascii="微软雅黑" w:eastAsia="微软雅黑" w:hAnsi="微软雅黑" w:cs="微软雅黑"/>
          <w:spacing w:val="8"/>
        </w:rPr>
        <w:t>10.1055/A-2458-7088。</w:t>
      </w:r>
      <w:r>
        <w:rPr>
          <w:rStyle w:val="any"/>
          <w:rFonts w:ascii="微软雅黑" w:eastAsia="微软雅黑" w:hAnsi="微软雅黑" w:cs="微软雅黑"/>
          <w:spacing w:val="8"/>
        </w:rPr>
        <w:t>期刊编辑表示“</w:t>
      </w:r>
      <w:r>
        <w:rPr>
          <w:rStyle w:val="any"/>
          <w:rFonts w:ascii="微软雅黑" w:eastAsia="微软雅黑" w:hAnsi="微软雅黑" w:cs="微软雅黑"/>
          <w:spacing w:val="8"/>
        </w:rPr>
        <w:t>由于不可调和的争议”，</w:t>
      </w:r>
      <w:r>
        <w:rPr>
          <w:rStyle w:val="any"/>
          <w:rFonts w:ascii="微软雅黑" w:eastAsia="微软雅黑" w:hAnsi="微软雅黑" w:cs="微软雅黑"/>
          <w:spacing w:val="8"/>
        </w:rPr>
        <w:t>该论文于</w:t>
      </w:r>
      <w:r>
        <w:rPr>
          <w:rStyle w:val="any"/>
          <w:rFonts w:ascii="微软雅黑" w:eastAsia="微软雅黑" w:hAnsi="微软雅黑" w:cs="微软雅黑"/>
          <w:spacing w:val="8"/>
        </w:rPr>
        <w:t>2025年4月7日被撤回。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779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1700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为了预测患者的生存预后，我们旨在建立一组与缺氧和凋亡相关的新基因特征。</w:t>
      </w:r>
      <w:r>
        <w:rPr>
          <w:rStyle w:val="any"/>
          <w:rFonts w:ascii="Times New Roman" w:eastAsia="Times New Roman" w:hAnsi="Times New Roman" w:cs="Times New Roman"/>
          <w:spacing w:val="8"/>
        </w:rPr>
        <w:t>LUAD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RNA-SEQ</w:t>
      </w:r>
      <w:r>
        <w:rPr>
          <w:rStyle w:val="any"/>
          <w:rFonts w:ascii="PMingLiU" w:eastAsia="PMingLiU" w:hAnsi="PMingLiU" w:cs="PMingLiU"/>
          <w:spacing w:val="8"/>
        </w:rPr>
        <w:t>和临床数据来自癌症基因组图集（</w:t>
      </w:r>
      <w:r>
        <w:rPr>
          <w:rStyle w:val="any"/>
          <w:rFonts w:ascii="Times New Roman" w:eastAsia="Times New Roman" w:hAnsi="Times New Roman" w:cs="Times New Roman"/>
          <w:spacing w:val="8"/>
        </w:rPr>
        <w:t>TCGA</w:t>
      </w:r>
      <w:r>
        <w:rPr>
          <w:rStyle w:val="any"/>
          <w:rFonts w:ascii="PMingLiU" w:eastAsia="PMingLiU" w:hAnsi="PMingLiU" w:cs="PMingLiU"/>
          <w:spacing w:val="8"/>
        </w:rPr>
        <w:t>）和基因表达综合（</w:t>
      </w:r>
      <w:r>
        <w:rPr>
          <w:rStyle w:val="any"/>
          <w:rFonts w:ascii="Times New Roman" w:eastAsia="Times New Roman" w:hAnsi="Times New Roman" w:cs="Times New Roman"/>
          <w:spacing w:val="8"/>
        </w:rPr>
        <w:t>GEO</w:t>
      </w:r>
      <w:r>
        <w:rPr>
          <w:rStyle w:val="any"/>
          <w:rFonts w:ascii="PMingLiU" w:eastAsia="PMingLiU" w:hAnsi="PMingLiU" w:cs="PMingLiU"/>
          <w:spacing w:val="8"/>
        </w:rPr>
        <w:t>）数据库，而缺氧和与凋亡相关的基因是从分子特征数据库（</w:t>
      </w:r>
      <w:r>
        <w:rPr>
          <w:rStyle w:val="any"/>
          <w:rFonts w:ascii="Times New Roman" w:eastAsia="Times New Roman" w:hAnsi="Times New Roman" w:cs="Times New Roman"/>
          <w:spacing w:val="8"/>
        </w:rPr>
        <w:t>MSIGDB</w:t>
      </w:r>
      <w:r>
        <w:rPr>
          <w:rStyle w:val="any"/>
          <w:rFonts w:ascii="PMingLiU" w:eastAsia="PMingLiU" w:hAnsi="PMingLiU" w:cs="PMingLiU"/>
          <w:spacing w:val="8"/>
        </w:rPr>
        <w:t>）获得的。使用单变量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多元</w:t>
      </w:r>
      <w:r>
        <w:rPr>
          <w:rStyle w:val="any"/>
          <w:rFonts w:ascii="Times New Roman" w:eastAsia="Times New Roman" w:hAnsi="Times New Roman" w:cs="Times New Roman"/>
          <w:spacing w:val="8"/>
        </w:rPr>
        <w:t>COX</w:t>
      </w:r>
      <w:r>
        <w:rPr>
          <w:rStyle w:val="any"/>
          <w:rFonts w:ascii="PMingLiU" w:eastAsia="PMingLiU" w:hAnsi="PMingLiU" w:cs="PMingLiU"/>
          <w:spacing w:val="8"/>
        </w:rPr>
        <w:t>回归，非负矩阵分解（</w:t>
      </w:r>
      <w:r>
        <w:rPr>
          <w:rStyle w:val="any"/>
          <w:rFonts w:ascii="Times New Roman" w:eastAsia="Times New Roman" w:hAnsi="Times New Roman" w:cs="Times New Roman"/>
          <w:spacing w:val="8"/>
        </w:rPr>
        <w:t>NMF</w:t>
      </w:r>
      <w:r>
        <w:rPr>
          <w:rStyle w:val="any"/>
          <w:rFonts w:ascii="PMingLiU" w:eastAsia="PMingLiU" w:hAnsi="PMingLiU" w:cs="PMingLiU"/>
          <w:spacing w:val="8"/>
        </w:rPr>
        <w:t>）聚类和</w:t>
      </w:r>
      <w:r>
        <w:rPr>
          <w:rStyle w:val="any"/>
          <w:rFonts w:ascii="Times New Roman" w:eastAsia="Times New Roman" w:hAnsi="Times New Roman" w:cs="Times New Roman"/>
          <w:spacing w:val="8"/>
        </w:rPr>
        <w:t>LASSO</w:t>
      </w:r>
      <w:r>
        <w:rPr>
          <w:rStyle w:val="any"/>
          <w:rFonts w:ascii="PMingLiU" w:eastAsia="PMingLiU" w:hAnsi="PMingLiU" w:cs="PMingLiU"/>
          <w:spacing w:val="8"/>
        </w:rPr>
        <w:t>回归开发了一种结合缺氧和凋亡基因的</w:t>
      </w:r>
      <w:r>
        <w:rPr>
          <w:rStyle w:val="any"/>
          <w:rFonts w:ascii="Times New Roman" w:eastAsia="Times New Roman" w:hAnsi="Times New Roman" w:cs="Times New Roman"/>
          <w:spacing w:val="8"/>
        </w:rPr>
        <w:t>13</w:t>
      </w:r>
      <w:r>
        <w:rPr>
          <w:rStyle w:val="any"/>
          <w:rFonts w:ascii="PMingLiU" w:eastAsia="PMingLiU" w:hAnsi="PMingLiU" w:cs="PMingLiU"/>
          <w:spacing w:val="8"/>
        </w:rPr>
        <w:t>种基因基因模型。根据中位风险评分，将患者分为高风险（</w:t>
      </w:r>
      <w:r>
        <w:rPr>
          <w:rStyle w:val="any"/>
          <w:rFonts w:ascii="Times New Roman" w:eastAsia="Times New Roman" w:hAnsi="Times New Roman" w:cs="Times New Roman"/>
          <w:spacing w:val="8"/>
        </w:rPr>
        <w:t>HR</w:t>
      </w:r>
      <w:r>
        <w:rPr>
          <w:rStyle w:val="any"/>
          <w:rFonts w:ascii="PMingLiU" w:eastAsia="PMingLiU" w:hAnsi="PMingLiU" w:cs="PMingLiU"/>
          <w:spacing w:val="8"/>
        </w:rPr>
        <w:t>）和低风险（</w:t>
      </w:r>
      <w:r>
        <w:rPr>
          <w:rStyle w:val="any"/>
          <w:rFonts w:ascii="Times New Roman" w:eastAsia="Times New Roman" w:hAnsi="Times New Roman" w:cs="Times New Roman"/>
          <w:spacing w:val="8"/>
        </w:rPr>
        <w:t>LR</w:t>
      </w:r>
      <w:r>
        <w:rPr>
          <w:rStyle w:val="any"/>
          <w:rFonts w:ascii="PMingLiU" w:eastAsia="PMingLiU" w:hAnsi="PMingLiU" w:cs="PMingLiU"/>
          <w:spacing w:val="8"/>
        </w:rPr>
        <w:t>）组。基因和基因组（</w:t>
      </w:r>
      <w:r>
        <w:rPr>
          <w:rStyle w:val="any"/>
          <w:rFonts w:ascii="Times New Roman" w:eastAsia="Times New Roman" w:hAnsi="Times New Roman" w:cs="Times New Roman"/>
          <w:spacing w:val="8"/>
        </w:rPr>
        <w:t>KEGG</w:t>
      </w:r>
      <w:r>
        <w:rPr>
          <w:rStyle w:val="any"/>
          <w:rFonts w:ascii="PMingLiU" w:eastAsia="PMingLiU" w:hAnsi="PMingLiU" w:cs="PMingLiU"/>
          <w:spacing w:val="8"/>
        </w:rPr>
        <w:t>）富集分析的基因本体论（</w:t>
      </w:r>
      <w:r>
        <w:rPr>
          <w:rStyle w:val="any"/>
          <w:rFonts w:ascii="Times New Roman" w:eastAsia="Times New Roman" w:hAnsi="Times New Roman" w:cs="Times New Roman"/>
          <w:spacing w:val="8"/>
        </w:rPr>
        <w:t>GO</w:t>
      </w:r>
      <w:r>
        <w:rPr>
          <w:rStyle w:val="any"/>
          <w:rFonts w:ascii="PMingLiU" w:eastAsia="PMingLiU" w:hAnsi="PMingLiU" w:cs="PMingLiU"/>
          <w:spacing w:val="8"/>
        </w:rPr>
        <w:t>）和京都百科全书揭示了</w:t>
      </w:r>
      <w:r>
        <w:rPr>
          <w:rStyle w:val="any"/>
          <w:rFonts w:ascii="Times New Roman" w:eastAsia="Times New Roman" w:hAnsi="Times New Roman" w:cs="Times New Roman"/>
          <w:spacing w:val="8"/>
        </w:rPr>
        <w:t>HR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LR</w:t>
      </w:r>
      <w:r>
        <w:rPr>
          <w:rStyle w:val="any"/>
          <w:rFonts w:ascii="PMingLiU" w:eastAsia="PMingLiU" w:hAnsi="PMingLiU" w:cs="PMingLiU"/>
          <w:spacing w:val="8"/>
        </w:rPr>
        <w:t>组之间的不同生物学过程，包括激素调节和脂质代谢途径。单样品基因集富集分析（</w:t>
      </w:r>
      <w:r>
        <w:rPr>
          <w:rStyle w:val="any"/>
          <w:rFonts w:ascii="Times New Roman" w:eastAsia="Times New Roman" w:hAnsi="Times New Roman" w:cs="Times New Roman"/>
          <w:spacing w:val="8"/>
        </w:rPr>
        <w:t>SSGSEA</w:t>
      </w:r>
      <w:r>
        <w:rPr>
          <w:rStyle w:val="any"/>
          <w:rFonts w:ascii="PMingLiU" w:eastAsia="PMingLiU" w:hAnsi="PMingLiU" w:cs="PMingLiU"/>
          <w:spacing w:val="8"/>
        </w:rPr>
        <w:t>）表明，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LR</w:t>
      </w:r>
      <w:r>
        <w:rPr>
          <w:rStyle w:val="any"/>
          <w:rFonts w:ascii="PMingLiU" w:eastAsia="PMingLiU" w:hAnsi="PMingLiU" w:cs="PMingLiU"/>
          <w:spacing w:val="8"/>
        </w:rPr>
        <w:t>组中嗜中性粒细胞和</w:t>
      </w:r>
      <w:r>
        <w:rPr>
          <w:rStyle w:val="any"/>
          <w:rFonts w:ascii="Times New Roman" w:eastAsia="Times New Roman" w:hAnsi="Times New Roman" w:cs="Times New Roman"/>
          <w:spacing w:val="8"/>
        </w:rPr>
        <w:t>T_HELPER_CELL</w:t>
      </w:r>
      <w:r>
        <w:rPr>
          <w:rStyle w:val="any"/>
          <w:rFonts w:ascii="PMingLiU" w:eastAsia="PMingLiU" w:hAnsi="PMingLiU" w:cs="PMingLiU"/>
          <w:spacing w:val="8"/>
        </w:rPr>
        <w:t>的细胞浸润水平升高，而</w:t>
      </w:r>
      <w:r>
        <w:rPr>
          <w:rStyle w:val="any"/>
          <w:rFonts w:ascii="Times New Roman" w:eastAsia="Times New Roman" w:hAnsi="Times New Roman" w:cs="Times New Roman"/>
          <w:spacing w:val="8"/>
        </w:rPr>
        <w:t>HR</w:t>
      </w:r>
      <w:r>
        <w:rPr>
          <w:rStyle w:val="any"/>
          <w:rFonts w:ascii="PMingLiU" w:eastAsia="PMingLiU" w:hAnsi="PMingLiU" w:cs="PMingLiU"/>
          <w:spacing w:val="8"/>
        </w:rPr>
        <w:t>组的</w:t>
      </w:r>
      <w:r>
        <w:rPr>
          <w:rStyle w:val="any"/>
          <w:rFonts w:ascii="Times New Roman" w:eastAsia="Times New Roman" w:hAnsi="Times New Roman" w:cs="Times New Roman"/>
          <w:spacing w:val="8"/>
        </w:rPr>
        <w:t>NK</w:t>
      </w:r>
      <w:r>
        <w:rPr>
          <w:rStyle w:val="any"/>
          <w:rFonts w:ascii="PMingLiU" w:eastAsia="PMingLiU" w:hAnsi="PMingLiU" w:cs="PMingLiU"/>
          <w:spacing w:val="8"/>
        </w:rPr>
        <w:t>细胞和</w:t>
      </w:r>
      <w:r>
        <w:rPr>
          <w:rStyle w:val="any"/>
          <w:rFonts w:ascii="Times New Roman" w:eastAsia="Times New Roman" w:hAnsi="Times New Roman" w:cs="Times New Roman"/>
          <w:spacing w:val="8"/>
        </w:rPr>
        <w:t>Th1</w:t>
      </w:r>
      <w:r>
        <w:rPr>
          <w:rStyle w:val="any"/>
          <w:rFonts w:ascii="PMingLiU" w:eastAsia="PMingLiU" w:hAnsi="PMingLiU" w:cs="PMingLiU"/>
          <w:spacing w:val="8"/>
        </w:rPr>
        <w:t>细胞较高。免疫学（</w:t>
      </w:r>
      <w:r>
        <w:rPr>
          <w:rStyle w:val="any"/>
          <w:rFonts w:ascii="Times New Roman" w:eastAsia="Times New Roman" w:hAnsi="Times New Roman" w:cs="Times New Roman"/>
          <w:spacing w:val="8"/>
        </w:rPr>
        <w:t>IPS</w:t>
      </w:r>
      <w:r>
        <w:rPr>
          <w:rStyle w:val="any"/>
          <w:rFonts w:ascii="PMingLiU" w:eastAsia="PMingLiU" w:hAnsi="PMingLiU" w:cs="PMingLiU"/>
          <w:spacing w:val="8"/>
        </w:rPr>
        <w:t>）和肿瘤免疫功能障碍和排除（</w:t>
      </w:r>
      <w:r>
        <w:rPr>
          <w:rStyle w:val="any"/>
          <w:rFonts w:ascii="Times New Roman" w:eastAsia="Times New Roman" w:hAnsi="Times New Roman" w:cs="Times New Roman"/>
          <w:spacing w:val="8"/>
        </w:rPr>
        <w:t>TIDE</w:t>
      </w:r>
      <w:r>
        <w:rPr>
          <w:rStyle w:val="any"/>
          <w:rFonts w:ascii="PMingLiU" w:eastAsia="PMingLiU" w:hAnsi="PMingLiU" w:cs="PMingLiU"/>
          <w:spacing w:val="8"/>
        </w:rPr>
        <w:t>）分析表明，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LR</w:t>
      </w:r>
      <w:r>
        <w:rPr>
          <w:rStyle w:val="any"/>
          <w:rFonts w:ascii="PMingLiU" w:eastAsia="PMingLiU" w:hAnsi="PMingLiU" w:cs="PMingLiU"/>
          <w:spacing w:val="8"/>
        </w:rPr>
        <w:t>组患者对免疫疗法的潜在益处。总之，这种整合与凋亡相关的基因的预后特征为预测</w:t>
      </w:r>
      <w:r>
        <w:rPr>
          <w:rStyle w:val="any"/>
          <w:rFonts w:ascii="Times New Roman" w:eastAsia="Times New Roman" w:hAnsi="Times New Roman" w:cs="Times New Roman"/>
          <w:spacing w:val="8"/>
        </w:rPr>
        <w:t>LUAD</w:t>
      </w:r>
      <w:r>
        <w:rPr>
          <w:rStyle w:val="any"/>
          <w:rFonts w:ascii="PMingLiU" w:eastAsia="PMingLiU" w:hAnsi="PMingLiU" w:cs="PMingLiU"/>
          <w:spacing w:val="8"/>
        </w:rPr>
        <w:t>患者的生存，免疫状态和治疗反应提供了见解，为个性化治疗策略铺平了道路。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通讯作者：</w:t>
      </w:r>
      <w:r>
        <w:rPr>
          <w:rStyle w:val="any"/>
          <w:rFonts w:ascii="微软雅黑" w:eastAsia="微软雅黑" w:hAnsi="微软雅黑" w:cs="微软雅黑"/>
          <w:spacing w:val="8"/>
        </w:rPr>
        <w:t>Mingfei Geng（音译：耿名飞），疑为</w:t>
      </w:r>
      <w:r>
        <w:rPr>
          <w:rStyle w:val="any"/>
          <w:rFonts w:ascii="微软雅黑" w:eastAsia="微软雅黑" w:hAnsi="微软雅黑" w:cs="微软雅黑"/>
          <w:spacing w:val="8"/>
        </w:rPr>
        <w:t>安阳市肿瘤医院胸三科副主任，担任安阳市胸心外科学会委员。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https://www.thieme-connect.de/products/ejournals/abstract/10.1055/a-2575-5491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471&amp;idx=4&amp;sn=3a83f3324b4d4ca7cfc478b836ac96b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