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中国医学科学院医药生物技术研究所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Shao Rongguang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（音译：邵容光）团队论文被质疑图像重复，背后有国家科学基金支持！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19:02:41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7108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2015年11月10日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一篇题为</w:t>
      </w:r>
      <w:r>
        <w:rPr>
          <w:rStyle w:val="any"/>
          <w:rFonts w:ascii="微软雅黑" w:eastAsia="微软雅黑" w:hAnsi="微软雅黑" w:cs="微软雅黑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he dual topoisomerase inhibitor A35 preferentially and specially targets topoisomerase 2α by enhancing pre-strand and post-strand cleavage and inhibiting DNA religation</w:t>
      </w:r>
      <w:r>
        <w:rPr>
          <w:rStyle w:val="any"/>
          <w:rFonts w:ascii="PMingLiU" w:eastAsia="PMingLiU" w:hAnsi="PMingLiU" w:cs="PMingLiU"/>
          <w:spacing w:val="8"/>
        </w:rPr>
        <w:t>（双拓扑异构酶抑制剂</w:t>
      </w:r>
      <w:r>
        <w:rPr>
          <w:rStyle w:val="any"/>
          <w:rFonts w:ascii="Times New Roman" w:eastAsia="Times New Roman" w:hAnsi="Times New Roman" w:cs="Times New Roman"/>
          <w:spacing w:val="8"/>
        </w:rPr>
        <w:t>A35</w:t>
      </w:r>
      <w:r>
        <w:rPr>
          <w:rStyle w:val="any"/>
          <w:rFonts w:ascii="PMingLiU" w:eastAsia="PMingLiU" w:hAnsi="PMingLiU" w:cs="PMingLiU"/>
          <w:spacing w:val="8"/>
        </w:rPr>
        <w:t>通过增强链前和链后剪切，抑制</w:t>
      </w:r>
      <w:r>
        <w:rPr>
          <w:rStyle w:val="any"/>
          <w:rFonts w:ascii="Times New Roman" w:eastAsia="Times New Roman" w:hAnsi="Times New Roman" w:cs="Times New Roman"/>
          <w:spacing w:val="8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再连接，从而优先和特异地靶向拓扑异构酶</w:t>
      </w:r>
      <w:r>
        <w:rPr>
          <w:rStyle w:val="any"/>
          <w:rFonts w:ascii="Times New Roman" w:eastAsia="Times New Roman" w:hAnsi="Times New Roman" w:cs="Times New Roman"/>
          <w:spacing w:val="8"/>
        </w:rPr>
        <w:t>2 α</w:t>
      </w:r>
      <w:r>
        <w:rPr>
          <w:rStyle w:val="any"/>
          <w:rFonts w:ascii="PMingLiU" w:eastAsia="PMingLiU" w:hAnsi="PMingLiU" w:cs="PMingLiU"/>
          <w:spacing w:val="8"/>
        </w:rPr>
        <w:t>）的论文在</w:t>
      </w:r>
      <w:r>
        <w:rPr>
          <w:rStyle w:val="any"/>
          <w:rFonts w:ascii="微软雅黑" w:eastAsia="微软雅黑" w:hAnsi="微软雅黑" w:cs="微软雅黑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》期刊</w:t>
      </w:r>
      <w:r>
        <w:rPr>
          <w:rStyle w:val="any"/>
          <w:rFonts w:ascii="微软雅黑" w:eastAsia="微软雅黑" w:hAnsi="微软雅黑" w:cs="微软雅黑"/>
          <w:spacing w:val="8"/>
        </w:rPr>
        <w:t>发表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论文</w:t>
      </w:r>
      <w:r>
        <w:rPr>
          <w:rStyle w:val="any"/>
          <w:rFonts w:ascii="微软雅黑" w:eastAsia="微软雅黑" w:hAnsi="微软雅黑" w:cs="微软雅黑"/>
          <w:spacing w:val="8"/>
        </w:rPr>
        <w:t>DOI：</w:t>
      </w:r>
      <w:r>
        <w:rPr>
          <w:rStyle w:val="any"/>
          <w:rFonts w:ascii="微软雅黑" w:eastAsia="微软雅黑" w:hAnsi="微软雅黑" w:cs="微软雅黑"/>
          <w:spacing w:val="8"/>
        </w:rPr>
        <w:t>10.18632/oncotarget.5680。</w:t>
      </w:r>
      <w:r>
        <w:rPr>
          <w:rStyle w:val="any"/>
          <w:rFonts w:ascii="微软雅黑" w:eastAsia="微软雅黑" w:hAnsi="微软雅黑" w:cs="微软雅黑"/>
          <w:spacing w:val="8"/>
        </w:rPr>
        <w:t>2025年4月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在</w:t>
      </w:r>
      <w:r>
        <w:rPr>
          <w:rStyle w:val="any"/>
          <w:rFonts w:ascii="微软雅黑" w:eastAsia="微软雅黑" w:hAnsi="微软雅黑" w:cs="微软雅黑"/>
          <w:spacing w:val="8"/>
        </w:rPr>
        <w:t>Pupbeer</w:t>
      </w:r>
      <w:r>
        <w:rPr>
          <w:rStyle w:val="any"/>
          <w:rFonts w:ascii="微软雅黑" w:eastAsia="微软雅黑" w:hAnsi="微软雅黑" w:cs="微软雅黑"/>
          <w:spacing w:val="8"/>
        </w:rPr>
        <w:t>学术监督平台上，</w:t>
      </w:r>
      <w:r>
        <w:rPr>
          <w:rStyle w:val="any"/>
          <w:rFonts w:ascii="微软雅黑" w:eastAsia="微软雅黑" w:hAnsi="微软雅黑" w:cs="微软雅黑"/>
          <w:spacing w:val="8"/>
        </w:rPr>
        <w:t>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Lirceolus pilus</w:t>
      </w:r>
      <w:r>
        <w:rPr>
          <w:rStyle w:val="any"/>
          <w:rFonts w:ascii="PMingLiU" w:eastAsia="PMingLiU" w:hAnsi="PMingLiU" w:cs="PMingLiU"/>
          <w:spacing w:val="8"/>
        </w:rPr>
        <w:t>对该论文提出质疑，认为图像有多处重复。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008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4116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0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本论文研究内容为：</w:t>
      </w:r>
      <w:r>
        <w:rPr>
          <w:rStyle w:val="any"/>
          <w:rFonts w:ascii="Times New Roman" w:eastAsia="Times New Roman" w:hAnsi="Times New Roman" w:cs="Times New Roman"/>
          <w:spacing w:val="8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拓扑异构酶在肿瘤增殖中起关键作用。靶向拓扑异构酶的化学治疗剂已被广泛用于临床肿瘤学，但耐药性和副作用，尤其是心脏毒性，通常会限制其应用。临床数据表明，拓扑异构酶（</w:t>
      </w:r>
      <w:r>
        <w:rPr>
          <w:rStyle w:val="any"/>
          <w:rFonts w:ascii="Times New Roman" w:eastAsia="Times New Roman" w:hAnsi="Times New Roman" w:cs="Times New Roman"/>
          <w:spacing w:val="8"/>
        </w:rPr>
        <w:t>TOP</w:t>
      </w:r>
      <w:r>
        <w:rPr>
          <w:rStyle w:val="any"/>
          <w:rFonts w:ascii="PMingLiU" w:eastAsia="PMingLiU" w:hAnsi="PMingLiU" w:cs="PMingLiU"/>
          <w:spacing w:val="8"/>
        </w:rPr>
        <w:t>）水平的降低是负责耐药性的主要因素，但是在细胞中，</w:t>
      </w:r>
      <w:r>
        <w:rPr>
          <w:rStyle w:val="any"/>
          <w:rFonts w:ascii="Times New Roman" w:eastAsia="Times New Roman" w:hAnsi="Times New Roman" w:cs="Times New Roman"/>
          <w:spacing w:val="8"/>
        </w:rPr>
        <w:t>TOP1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TOP2α</w:t>
      </w:r>
      <w:r>
        <w:rPr>
          <w:rStyle w:val="any"/>
          <w:rFonts w:ascii="PMingLiU" w:eastAsia="PMingLiU" w:hAnsi="PMingLiU" w:cs="PMingLiU"/>
          <w:spacing w:val="8"/>
        </w:rPr>
        <w:t>的水平之间具有补偿性效果。在这里，我们验证了周期性的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绿绿蛋白</w:t>
      </w:r>
      <w:r>
        <w:rPr>
          <w:rStyle w:val="any"/>
          <w:rFonts w:ascii="Times New Roman" w:eastAsia="Times New Roman" w:hAnsi="Times New Roman" w:cs="Times New Roman"/>
          <w:spacing w:val="8"/>
        </w:rPr>
        <w:t>A35</w:t>
      </w:r>
      <w:r>
        <w:rPr>
          <w:rStyle w:val="any"/>
          <w:rFonts w:ascii="PMingLiU" w:eastAsia="PMingLiU" w:hAnsi="PMingLiU" w:cs="PMingLiU"/>
          <w:spacing w:val="8"/>
        </w:rPr>
        <w:t>，该</w:t>
      </w:r>
      <w:r>
        <w:rPr>
          <w:rStyle w:val="any"/>
          <w:rFonts w:ascii="Times New Roman" w:eastAsia="Times New Roman" w:hAnsi="Times New Roman" w:cs="Times New Roman"/>
          <w:spacing w:val="8"/>
        </w:rPr>
        <w:t>A35</w:t>
      </w:r>
      <w:r>
        <w:rPr>
          <w:rStyle w:val="any"/>
          <w:rFonts w:ascii="PMingLiU" w:eastAsia="PMingLiU" w:hAnsi="PMingLiU" w:cs="PMingLiU"/>
          <w:spacing w:val="8"/>
        </w:rPr>
        <w:t>是双顶抑制剂，优先针对</w:t>
      </w:r>
      <w:r>
        <w:rPr>
          <w:rStyle w:val="any"/>
          <w:rFonts w:ascii="Times New Roman" w:eastAsia="Times New Roman" w:hAnsi="Times New Roman" w:cs="Times New Roman"/>
          <w:spacing w:val="8"/>
        </w:rPr>
        <w:t>TOP2A</w:t>
      </w:r>
      <w:r>
        <w:rPr>
          <w:rStyle w:val="any"/>
          <w:rFonts w:ascii="PMingLiU" w:eastAsia="PMingLiU" w:hAnsi="PMingLiU" w:cs="PMingLiU"/>
          <w:spacing w:val="8"/>
        </w:rPr>
        <w:t>。对</w:t>
      </w:r>
      <w:r>
        <w:rPr>
          <w:rStyle w:val="any"/>
          <w:rFonts w:ascii="Times New Roman" w:eastAsia="Times New Roman" w:hAnsi="Times New Roman" w:cs="Times New Roman"/>
          <w:spacing w:val="8"/>
        </w:rPr>
        <w:t>TOP2α</w:t>
      </w:r>
      <w:r>
        <w:rPr>
          <w:rStyle w:val="any"/>
          <w:rFonts w:ascii="PMingLiU" w:eastAsia="PMingLiU" w:hAnsi="PMingLiU" w:cs="PMingLiU"/>
          <w:spacing w:val="8"/>
        </w:rPr>
        <w:t>催化循环的影响表明</w:t>
      </w:r>
      <w:r>
        <w:rPr>
          <w:rStyle w:val="any"/>
          <w:rFonts w:ascii="Times New Roman" w:eastAsia="Times New Roman" w:hAnsi="Times New Roman" w:cs="Times New Roman"/>
          <w:spacing w:val="8"/>
        </w:rPr>
        <w:t>A35</w:t>
      </w:r>
      <w:r>
        <w:rPr>
          <w:rStyle w:val="any"/>
          <w:rFonts w:ascii="PMingLiU" w:eastAsia="PMingLiU" w:hAnsi="PMingLiU" w:cs="PMingLiU"/>
          <w:spacing w:val="8"/>
        </w:rPr>
        <w:t>可以插入</w:t>
      </w:r>
      <w:r>
        <w:rPr>
          <w:rStyle w:val="any"/>
          <w:rFonts w:ascii="Times New Roman" w:eastAsia="Times New Roman" w:hAnsi="Times New Roman" w:cs="Times New Roman"/>
          <w:spacing w:val="8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，但不会干扰</w:t>
      </w:r>
      <w:r>
        <w:rPr>
          <w:rStyle w:val="any"/>
          <w:rFonts w:ascii="Times New Roman" w:eastAsia="Times New Roman" w:hAnsi="Times New Roman" w:cs="Times New Roman"/>
          <w:spacing w:val="8"/>
        </w:rPr>
        <w:t>DNA-TOP</w:t>
      </w:r>
      <w:r>
        <w:rPr>
          <w:rStyle w:val="any"/>
          <w:rFonts w:ascii="PMingLiU" w:eastAsia="PMingLiU" w:hAnsi="PMingLiU" w:cs="PMingLiU"/>
          <w:spacing w:val="8"/>
        </w:rPr>
        <w:t>结合和</w:t>
      </w:r>
      <w:r>
        <w:rPr>
          <w:rStyle w:val="any"/>
          <w:rFonts w:ascii="Times New Roman" w:eastAsia="Times New Roman" w:hAnsi="Times New Roman" w:cs="Times New Roman"/>
          <w:spacing w:val="8"/>
        </w:rPr>
        <w:t>TOP2 Alpha ATPase</w:t>
      </w:r>
      <w:r>
        <w:rPr>
          <w:rStyle w:val="any"/>
          <w:rFonts w:ascii="PMingLiU" w:eastAsia="PMingLiU" w:hAnsi="PMingLiU" w:cs="PMingLiU"/>
          <w:spacing w:val="8"/>
        </w:rPr>
        <w:t>活性。</w:t>
      </w:r>
      <w:r>
        <w:rPr>
          <w:rStyle w:val="any"/>
          <w:rFonts w:ascii="Times New Roman" w:eastAsia="Times New Roman" w:hAnsi="Times New Roman" w:cs="Times New Roman"/>
          <w:spacing w:val="8"/>
        </w:rPr>
        <w:t>A35</w:t>
      </w:r>
      <w:r>
        <w:rPr>
          <w:rStyle w:val="any"/>
          <w:rFonts w:ascii="PMingLiU" w:eastAsia="PMingLiU" w:hAnsi="PMingLiU" w:cs="PMingLiU"/>
          <w:spacing w:val="8"/>
        </w:rPr>
        <w:t>可以通过增强链前和链后裂解和抑制宗教来促进</w:t>
      </w:r>
      <w:r>
        <w:rPr>
          <w:rStyle w:val="any"/>
          <w:rFonts w:ascii="Times New Roman" w:eastAsia="Times New Roman" w:hAnsi="Times New Roman" w:cs="Times New Roman"/>
          <w:spacing w:val="8"/>
        </w:rPr>
        <w:t>DNA-TOP2α</w:t>
      </w:r>
      <w:r>
        <w:rPr>
          <w:rStyle w:val="any"/>
          <w:rFonts w:ascii="PMingLiU" w:eastAsia="PMingLiU" w:hAnsi="PMingLiU" w:cs="PMingLiU"/>
          <w:spacing w:val="8"/>
        </w:rPr>
        <w:t>裂解复合物的形成，这表明这种化合物可以是拓扑异构酶毒药，并具有其他拓扑异构酶抑制剂的区域机制。</w:t>
      </w:r>
      <w:r>
        <w:rPr>
          <w:rStyle w:val="any"/>
          <w:rFonts w:ascii="Times New Roman" w:eastAsia="Times New Roman" w:hAnsi="Times New Roman" w:cs="Times New Roman"/>
          <w:spacing w:val="8"/>
        </w:rPr>
        <w:t>TARDIS</w:t>
      </w:r>
      <w:r>
        <w:rPr>
          <w:rStyle w:val="any"/>
          <w:rFonts w:ascii="PMingLiU" w:eastAsia="PMingLiU" w:hAnsi="PMingLiU" w:cs="PMingLiU"/>
          <w:spacing w:val="8"/>
        </w:rPr>
        <w:t>和彗星测定法表明</w:t>
      </w:r>
      <w:r>
        <w:rPr>
          <w:rStyle w:val="any"/>
          <w:rFonts w:ascii="Times New Roman" w:eastAsia="Times New Roman" w:hAnsi="Times New Roman" w:cs="Times New Roman"/>
          <w:spacing w:val="8"/>
        </w:rPr>
        <w:t>A35</w:t>
      </w:r>
      <w:r>
        <w:rPr>
          <w:rStyle w:val="any"/>
          <w:rFonts w:ascii="PMingLiU" w:eastAsia="PMingLiU" w:hAnsi="PMingLiU" w:cs="PMingLiU"/>
          <w:spacing w:val="8"/>
        </w:rPr>
        <w:t>可以诱导细胞</w:t>
      </w:r>
      <w:r>
        <w:rPr>
          <w:rStyle w:val="any"/>
          <w:rFonts w:ascii="Times New Roman" w:eastAsia="Times New Roman" w:hAnsi="Times New Roman" w:cs="Times New Roman"/>
          <w:spacing w:val="8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断裂和</w:t>
      </w:r>
      <w:r>
        <w:rPr>
          <w:rStyle w:val="any"/>
          <w:rFonts w:ascii="Times New Roman" w:eastAsia="Times New Roman" w:hAnsi="Times New Roman" w:cs="Times New Roman"/>
          <w:spacing w:val="8"/>
        </w:rPr>
        <w:t>DNA-TOP</w:t>
      </w:r>
      <w:r>
        <w:rPr>
          <w:rStyle w:val="any"/>
          <w:rFonts w:ascii="PMingLiU" w:eastAsia="PMingLiU" w:hAnsi="PMingLiU" w:cs="PMingLiU"/>
          <w:spacing w:val="8"/>
        </w:rPr>
        <w:t>复合物，但对心脏毒性诱导剂</w:t>
      </w:r>
      <w:r>
        <w:rPr>
          <w:rStyle w:val="any"/>
          <w:rFonts w:ascii="Times New Roman" w:eastAsia="Times New Roman" w:hAnsi="Times New Roman" w:cs="Times New Roman"/>
          <w:spacing w:val="8"/>
        </w:rPr>
        <w:t>TOP2β</w:t>
      </w:r>
      <w:r>
        <w:rPr>
          <w:rStyle w:val="any"/>
          <w:rFonts w:ascii="PMingLiU" w:eastAsia="PMingLiU" w:hAnsi="PMingLiU" w:cs="PMingLiU"/>
          <w:spacing w:val="8"/>
        </w:rPr>
        <w:t>没有影响。沉默的</w:t>
      </w:r>
      <w:r>
        <w:rPr>
          <w:rStyle w:val="any"/>
          <w:rFonts w:ascii="Times New Roman" w:eastAsia="Times New Roman" w:hAnsi="Times New Roman" w:cs="Times New Roman"/>
          <w:spacing w:val="8"/>
        </w:rPr>
        <w:t>TOP1</w:t>
      </w:r>
      <w:r>
        <w:rPr>
          <w:rStyle w:val="any"/>
          <w:rFonts w:ascii="PMingLiU" w:eastAsia="PMingLiU" w:hAnsi="PMingLiU" w:cs="PMingLiU"/>
          <w:spacing w:val="8"/>
        </w:rPr>
        <w:t>增强</w:t>
      </w:r>
      <w:r>
        <w:rPr>
          <w:rStyle w:val="any"/>
          <w:rFonts w:ascii="Times New Roman" w:eastAsia="Times New Roman" w:hAnsi="Times New Roman" w:cs="Times New Roman"/>
          <w:spacing w:val="8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断裂和沉默的</w:t>
      </w:r>
      <w:r>
        <w:rPr>
          <w:rStyle w:val="any"/>
          <w:rFonts w:ascii="Times New Roman" w:eastAsia="Times New Roman" w:hAnsi="Times New Roman" w:cs="Times New Roman"/>
          <w:spacing w:val="8"/>
        </w:rPr>
        <w:t>Top2 alpha</w:t>
      </w:r>
      <w:r>
        <w:rPr>
          <w:rStyle w:val="any"/>
          <w:rFonts w:ascii="PMingLiU" w:eastAsia="PMingLiU" w:hAnsi="PMingLiU" w:cs="PMingLiU"/>
          <w:spacing w:val="8"/>
        </w:rPr>
        <w:t>减少了</w:t>
      </w:r>
      <w:r>
        <w:rPr>
          <w:rStyle w:val="any"/>
          <w:rFonts w:ascii="Times New Roman" w:eastAsia="Times New Roman" w:hAnsi="Times New Roman" w:cs="Times New Roman"/>
          <w:spacing w:val="8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断裂。在</w:t>
      </w:r>
      <w:r>
        <w:rPr>
          <w:rStyle w:val="any"/>
          <w:rFonts w:ascii="Times New Roman" w:eastAsia="Times New Roman" w:hAnsi="Times New Roman" w:cs="Times New Roman"/>
          <w:spacing w:val="8"/>
        </w:rPr>
        <w:t>H9C2</w:t>
      </w:r>
      <w:r>
        <w:rPr>
          <w:rStyle w:val="any"/>
          <w:rFonts w:ascii="PMingLiU" w:eastAsia="PMingLiU" w:hAnsi="PMingLiU" w:cs="PMingLiU"/>
          <w:spacing w:val="8"/>
        </w:rPr>
        <w:t>心脏细胞中进一步验证显示</w:t>
      </w:r>
      <w:r>
        <w:rPr>
          <w:rStyle w:val="any"/>
          <w:rFonts w:ascii="Times New Roman" w:eastAsia="Times New Roman" w:hAnsi="Times New Roman" w:cs="Times New Roman"/>
          <w:spacing w:val="8"/>
        </w:rPr>
        <w:t>A35</w:t>
      </w:r>
      <w:r>
        <w:rPr>
          <w:rStyle w:val="any"/>
          <w:rFonts w:ascii="PMingLiU" w:eastAsia="PMingLiU" w:hAnsi="PMingLiU" w:cs="PMingLiU"/>
          <w:spacing w:val="8"/>
        </w:rPr>
        <w:t>不会干扰细胞增殖和线粒体膜效力。此外，裸鼠的测定进一步证明了</w:t>
      </w:r>
      <w:r>
        <w:rPr>
          <w:rStyle w:val="any"/>
          <w:rFonts w:ascii="Times New Roman" w:eastAsia="Times New Roman" w:hAnsi="Times New Roman" w:cs="Times New Roman"/>
          <w:spacing w:val="8"/>
        </w:rPr>
        <w:t>A35</w:t>
      </w:r>
      <w:r>
        <w:rPr>
          <w:rStyle w:val="any"/>
          <w:rFonts w:ascii="PMingLiU" w:eastAsia="PMingLiU" w:hAnsi="PMingLiU" w:cs="PMingLiU"/>
          <w:spacing w:val="8"/>
        </w:rPr>
        <w:t>不会损害心脏。我们的工作将</w:t>
      </w:r>
      <w:r>
        <w:rPr>
          <w:rStyle w:val="any"/>
          <w:rFonts w:ascii="Times New Roman" w:eastAsia="Times New Roman" w:hAnsi="Times New Roman" w:cs="Times New Roman"/>
          <w:spacing w:val="8"/>
        </w:rPr>
        <w:t>A35</w:t>
      </w:r>
      <w:r>
        <w:rPr>
          <w:rStyle w:val="any"/>
          <w:rFonts w:ascii="PMingLiU" w:eastAsia="PMingLiU" w:hAnsi="PMingLiU" w:cs="PMingLiU"/>
          <w:spacing w:val="8"/>
        </w:rPr>
        <w:t>鉴定为一种新型骨骼化合物双重抑制拓扑异构酶，并且主要且主要针对</w:t>
      </w:r>
      <w:r>
        <w:rPr>
          <w:rStyle w:val="any"/>
          <w:rFonts w:ascii="Times New Roman" w:eastAsia="Times New Roman" w:hAnsi="Times New Roman" w:cs="Times New Roman"/>
          <w:spacing w:val="8"/>
        </w:rPr>
        <w:t>Top2 alpha</w:t>
      </w:r>
      <w:r>
        <w:rPr>
          <w:rStyle w:val="any"/>
          <w:rFonts w:ascii="PMingLiU" w:eastAsia="PMingLiU" w:hAnsi="PMingLiU" w:cs="PMingLiU"/>
          <w:spacing w:val="8"/>
        </w:rPr>
        <w:t>，通过干扰所有切割步骤，并且没有心脏细胞和小鼠的心脏验证其无心脏毒性。</w:t>
      </w:r>
      <w:r>
        <w:rPr>
          <w:rStyle w:val="any"/>
          <w:rFonts w:ascii="Times New Roman" w:eastAsia="Times New Roman" w:hAnsi="Times New Roman" w:cs="Times New Roman"/>
          <w:spacing w:val="8"/>
        </w:rPr>
        <w:t>A35</w:t>
      </w:r>
      <w:r>
        <w:rPr>
          <w:rStyle w:val="any"/>
          <w:rFonts w:ascii="PMingLiU" w:eastAsia="PMingLiU" w:hAnsi="PMingLiU" w:cs="PMingLiU"/>
          <w:spacing w:val="8"/>
        </w:rPr>
        <w:t>可能是一种新颖有效的靶向拓扑异构酶剂。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8094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2059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本研究获得以下基金支持：</w:t>
      </w:r>
      <w:r>
        <w:rPr>
          <w:rStyle w:val="any"/>
          <w:rFonts w:ascii="微软雅黑" w:eastAsia="微软雅黑" w:hAnsi="微软雅黑" w:cs="微软雅黑"/>
          <w:spacing w:val="8"/>
        </w:rPr>
        <w:t>国家科学基金[81102464，81321004]；国家创新药物重大项目[2014 zx 09201042]；IMB基金。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通讯作者：</w:t>
      </w:r>
      <w:r>
        <w:rPr>
          <w:rStyle w:val="any"/>
          <w:rFonts w:ascii="微软雅黑" w:eastAsia="微软雅黑" w:hAnsi="微软雅黑" w:cs="微软雅黑"/>
          <w:spacing w:val="8"/>
        </w:rPr>
        <w:t>Shao Rongguang，疑为</w:t>
      </w:r>
      <w:r>
        <w:rPr>
          <w:rStyle w:val="any"/>
          <w:rFonts w:ascii="微软雅黑" w:eastAsia="微软雅黑" w:hAnsi="微软雅黑" w:cs="微软雅黑"/>
          <w:spacing w:val="8"/>
        </w:rPr>
        <w:t>中国医学科学院北京协和医学院医药生物技术研究所医师。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888888"/>
          <w:spacing w:val="8"/>
          <w:sz w:val="21"/>
          <w:szCs w:val="21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https://pubpeer.com/publications/2599781F746F7BB68BF60FDF1AEDC1#0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https://pubmed.ncbi.nlm.nih.gov/26462155/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  <w:sz w:val="21"/>
          <w:szCs w:val="21"/>
        </w:rPr>
        <w:t>声明：</w:t>
      </w:r>
      <w:r>
        <w:rPr>
          <w:rStyle w:val="any"/>
          <w:rFonts w:ascii="微软雅黑" w:eastAsia="微软雅黑" w:hAnsi="微软雅黑" w:cs="微软雅黑"/>
          <w:spacing w:val="8"/>
          <w:sz w:val="21"/>
          <w:szCs w:val="21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414&amp;idx=4&amp;sn=6441870dce332111369c7166843a2e6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