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又是图像旋转？河北大学附属医院神经内科主任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Likai Su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（音译：苏力凯）论文被质疑，作者无回复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16:19:35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230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2015年09月17日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一篇题为</w:t>
      </w:r>
      <w:r>
        <w:rPr>
          <w:rStyle w:val="any"/>
          <w:rFonts w:ascii="微软雅黑" w:eastAsia="微软雅黑" w:hAnsi="微软雅黑" w:cs="微软雅黑"/>
          <w:spacing w:val="8"/>
        </w:rPr>
        <w:t>：</w:t>
      </w:r>
      <w:r>
        <w:rPr>
          <w:rStyle w:val="any"/>
          <w:rFonts w:ascii="微软雅黑" w:eastAsia="微软雅黑" w:hAnsi="微软雅黑" w:cs="微软雅黑"/>
          <w:spacing w:val="8"/>
        </w:rPr>
        <w:t>Remote limb ischemic postconditioning protects mouse brain against cerebral ischemia/reperfusion injury via upregulating expression of Nrf2, HO-1 and NQO-1 in mice（远隔肢体缺血后处理通过上调小鼠Nrf2、HO-1和NQO-1的表达,保护小鼠抵抗脑缺血/再灌注损伤）的论文在</w:t>
      </w:r>
      <w:r>
        <w:rPr>
          <w:rStyle w:val="any"/>
          <w:rFonts w:ascii="微软雅黑" w:eastAsia="微软雅黑" w:hAnsi="微软雅黑" w:cs="微软雅黑"/>
          <w:spacing w:val="8"/>
        </w:rPr>
        <w:t>《</w:t>
      </w:r>
      <w:r>
        <w:rPr>
          <w:rStyle w:val="any"/>
          <w:rFonts w:ascii="微软雅黑" w:eastAsia="微软雅黑" w:hAnsi="微软雅黑" w:cs="微软雅黑"/>
          <w:spacing w:val="8"/>
        </w:rPr>
        <w:t>The International journal of neuroscience》期刊</w:t>
      </w:r>
      <w:r>
        <w:rPr>
          <w:rStyle w:val="any"/>
          <w:rFonts w:ascii="微软雅黑" w:eastAsia="微软雅黑" w:hAnsi="微软雅黑" w:cs="微软雅黑"/>
          <w:spacing w:val="8"/>
        </w:rPr>
        <w:t>发表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论文</w:t>
      </w:r>
      <w:r>
        <w:rPr>
          <w:rStyle w:val="any"/>
          <w:rFonts w:ascii="微软雅黑" w:eastAsia="微软雅黑" w:hAnsi="微软雅黑" w:cs="微软雅黑"/>
          <w:spacing w:val="8"/>
        </w:rPr>
        <w:t>DOI：</w:t>
      </w:r>
      <w:r>
        <w:rPr>
          <w:rStyle w:val="any"/>
          <w:rFonts w:ascii="微软雅黑" w:eastAsia="微软雅黑" w:hAnsi="微软雅黑" w:cs="微软雅黑"/>
          <w:spacing w:val="8"/>
        </w:rPr>
        <w:t>10.3109/00207454.2015.1042973。</w:t>
      </w:r>
      <w:r>
        <w:rPr>
          <w:rStyle w:val="any"/>
          <w:rFonts w:ascii="微软雅黑" w:eastAsia="微软雅黑" w:hAnsi="微软雅黑" w:cs="微软雅黑"/>
          <w:spacing w:val="8"/>
        </w:rPr>
        <w:t>2025年4月</w:t>
      </w:r>
      <w:r>
        <w:rPr>
          <w:rStyle w:val="any"/>
          <w:rFonts w:ascii="微软雅黑" w:eastAsia="微软雅黑" w:hAnsi="微软雅黑" w:cs="微软雅黑"/>
          <w:spacing w:val="8"/>
        </w:rPr>
        <w:t>，</w:t>
      </w:r>
      <w:r>
        <w:rPr>
          <w:rStyle w:val="any"/>
          <w:rFonts w:ascii="微软雅黑" w:eastAsia="微软雅黑" w:hAnsi="微软雅黑" w:cs="微软雅黑"/>
          <w:spacing w:val="8"/>
        </w:rPr>
        <w:t>在</w:t>
      </w:r>
      <w:r>
        <w:rPr>
          <w:rStyle w:val="any"/>
          <w:rFonts w:ascii="微软雅黑" w:eastAsia="微软雅黑" w:hAnsi="微软雅黑" w:cs="微软雅黑"/>
          <w:spacing w:val="8"/>
        </w:rPr>
        <w:t>Pupbeer</w:t>
      </w:r>
      <w:r>
        <w:rPr>
          <w:rStyle w:val="any"/>
          <w:rFonts w:ascii="微软雅黑" w:eastAsia="微软雅黑" w:hAnsi="微软雅黑" w:cs="微软雅黑"/>
          <w:spacing w:val="8"/>
        </w:rPr>
        <w:t>学术评论</w:t>
      </w:r>
      <w:r>
        <w:rPr>
          <w:rStyle w:val="any"/>
          <w:rFonts w:ascii="微软雅黑" w:eastAsia="微软雅黑" w:hAnsi="微软雅黑" w:cs="微软雅黑"/>
          <w:spacing w:val="8"/>
        </w:rPr>
        <w:t>网站</w:t>
      </w:r>
      <w:r>
        <w:rPr>
          <w:rStyle w:val="any"/>
          <w:rFonts w:ascii="微软雅黑" w:eastAsia="微软雅黑" w:hAnsi="微软雅黑" w:cs="微软雅黑"/>
          <w:spacing w:val="8"/>
        </w:rPr>
        <w:t>上，</w:t>
      </w:r>
      <w:r>
        <w:rPr>
          <w:rStyle w:val="any"/>
          <w:rFonts w:ascii="微软雅黑" w:eastAsia="微软雅黑" w:hAnsi="微软雅黑" w:cs="微软雅黑"/>
          <w:spacing w:val="8"/>
        </w:rPr>
        <w:t>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对该论文提出质疑，认为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我们在您的两个图中发现了意外的重叠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见下图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554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256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远隔缺血后处理</w:t>
      </w:r>
      <w:r>
        <w:rPr>
          <w:rStyle w:val="any"/>
          <w:rFonts w:ascii="Times New Roman" w:eastAsia="Times New Roman" w:hAnsi="Times New Roman" w:cs="Times New Roman"/>
          <w:spacing w:val="8"/>
        </w:rPr>
        <w:t>( RIPostC )</w:t>
      </w:r>
      <w:r>
        <w:rPr>
          <w:rStyle w:val="any"/>
          <w:rFonts w:ascii="PMingLiU" w:eastAsia="PMingLiU" w:hAnsi="PMingLiU" w:cs="PMingLiU"/>
          <w:spacing w:val="8"/>
        </w:rPr>
        <w:t>是一种很有前途的治疗性干预措施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已被发现能在实验上减轻心、肾、脑和骨骼肌缺血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</w:t>
      </w:r>
      <w:r>
        <w:rPr>
          <w:rStyle w:val="any"/>
          <w:rFonts w:ascii="Times New Roman" w:eastAsia="Times New Roman" w:hAnsi="Times New Roman" w:cs="Times New Roman"/>
          <w:spacing w:val="8"/>
        </w:rPr>
        <w:t>( I / R )</w:t>
      </w:r>
      <w:r>
        <w:rPr>
          <w:rStyle w:val="any"/>
          <w:rFonts w:ascii="PMingLiU" w:eastAsia="PMingLiU" w:hAnsi="PMingLiU" w:cs="PMingLiU"/>
          <w:spacing w:val="8"/>
        </w:rPr>
        <w:t>损伤。但其潜在的保护机制尚未完全阐明。本研究旨在探讨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在脑</w:t>
      </w:r>
      <w:r>
        <w:rPr>
          <w:rStyle w:val="any"/>
          <w:rFonts w:ascii="Times New Roman" w:eastAsia="Times New Roman" w:hAnsi="Times New Roman" w:cs="Times New Roman"/>
          <w:spacing w:val="8"/>
        </w:rPr>
        <w:t>I / R</w:t>
      </w:r>
      <w:r>
        <w:rPr>
          <w:rStyle w:val="any"/>
          <w:rFonts w:ascii="PMingLiU" w:eastAsia="PMingLiU" w:hAnsi="PMingLiU" w:cs="PMingLiU"/>
          <w:spacing w:val="8"/>
        </w:rPr>
        <w:t>损伤中的保护作用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并探讨其诱导神经保护的新的推测机制。采用短暂性大脑中动脉阻塞</w:t>
      </w:r>
      <w:r>
        <w:rPr>
          <w:rStyle w:val="any"/>
          <w:rFonts w:ascii="Times New Roman" w:eastAsia="Times New Roman" w:hAnsi="Times New Roman" w:cs="Times New Roman"/>
          <w:spacing w:val="8"/>
        </w:rPr>
        <w:t>( transient middle cerebral artery occlusion,tMCAO )</w:t>
      </w:r>
      <w:r>
        <w:rPr>
          <w:rStyle w:val="any"/>
          <w:rFonts w:ascii="PMingLiU" w:eastAsia="PMingLiU" w:hAnsi="PMingLiU" w:cs="PMingLiU"/>
          <w:spacing w:val="8"/>
        </w:rPr>
        <w:t>诱导雄性</w:t>
      </w:r>
      <w:r>
        <w:rPr>
          <w:rStyle w:val="any"/>
          <w:rFonts w:ascii="Times New Roman" w:eastAsia="Times New Roman" w:hAnsi="Times New Roman" w:cs="Times New Roman"/>
          <w:spacing w:val="8"/>
        </w:rPr>
        <w:t>CD1</w:t>
      </w:r>
      <w:r>
        <w:rPr>
          <w:rStyle w:val="any"/>
          <w:rFonts w:ascii="PMingLiU" w:eastAsia="PMingLiU" w:hAnsi="PMingLiU" w:cs="PMingLiU"/>
          <w:spacing w:val="8"/>
        </w:rPr>
        <w:t>小鼠局灶性脑缺血。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由大脑中动脉再灌注开始时双侧股动脉</w:t>
      </w:r>
      <w:r>
        <w:rPr>
          <w:rStyle w:val="any"/>
          <w:rFonts w:ascii="Times New Roman" w:eastAsia="Times New Roman" w:hAnsi="Times New Roman" w:cs="Times New Roman"/>
          <w:spacing w:val="8"/>
        </w:rPr>
        <w:t>5min</w:t>
      </w:r>
      <w:r>
        <w:rPr>
          <w:rStyle w:val="any"/>
          <w:rFonts w:ascii="PMingLiU" w:eastAsia="PMingLiU" w:hAnsi="PMingLiU" w:cs="PMingLiU"/>
          <w:spacing w:val="8"/>
        </w:rPr>
        <w:t>再灌注</w:t>
      </w:r>
      <w:r>
        <w:rPr>
          <w:rStyle w:val="any"/>
          <w:rFonts w:ascii="Times New Roman" w:eastAsia="Times New Roman" w:hAnsi="Times New Roman" w:cs="Times New Roman"/>
          <w:spacing w:val="8"/>
        </w:rPr>
        <w:t>/ 5min</w:t>
      </w:r>
      <w:r>
        <w:rPr>
          <w:rStyle w:val="any"/>
          <w:rFonts w:ascii="PMingLiU" w:eastAsia="PMingLiU" w:hAnsi="PMingLiU" w:cs="PMingLiU"/>
          <w:spacing w:val="8"/>
        </w:rPr>
        <w:t>闭塞双侧肢体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个循环产生。</w:t>
      </w:r>
      <w:r>
        <w:rPr>
          <w:rStyle w:val="any"/>
          <w:rFonts w:ascii="Times New Roman" w:eastAsia="Times New Roman" w:hAnsi="Times New Roman" w:cs="Times New Roman"/>
          <w:spacing w:val="8"/>
        </w:rPr>
        <w:t>RIPostC</w:t>
      </w:r>
      <w:r>
        <w:rPr>
          <w:rStyle w:val="any"/>
          <w:rFonts w:ascii="PMingLiU" w:eastAsia="PMingLiU" w:hAnsi="PMingLiU" w:cs="PMingLiU"/>
          <w:spacing w:val="8"/>
        </w:rPr>
        <w:t>可显著改善神经功能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减轻脑梗死体积和脑水肿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上调核因子红系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相关因子</w:t>
      </w:r>
      <w:r>
        <w:rPr>
          <w:rStyle w:val="any"/>
          <w:rFonts w:ascii="Times New Roman" w:eastAsia="Times New Roman" w:hAnsi="Times New Roman" w:cs="Times New Roman"/>
          <w:spacing w:val="8"/>
        </w:rPr>
        <w:t>2 ( Nrf2 )</w:t>
      </w:r>
      <w:r>
        <w:rPr>
          <w:rStyle w:val="any"/>
          <w:rFonts w:ascii="PMingLiU" w:eastAsia="PMingLiU" w:hAnsi="PMingLiU" w:cs="PMingLiU"/>
          <w:spacing w:val="8"/>
        </w:rPr>
        <w:t>、血红素加氧酶</w:t>
      </w:r>
      <w:r>
        <w:rPr>
          <w:rStyle w:val="any"/>
          <w:rFonts w:ascii="Times New Roman" w:eastAsia="Times New Roman" w:hAnsi="Times New Roman" w:cs="Times New Roman"/>
          <w:spacing w:val="8"/>
        </w:rPr>
        <w:t>-1 ( HO-1 )</w:t>
      </w:r>
      <w:r>
        <w:rPr>
          <w:rStyle w:val="any"/>
          <w:rFonts w:ascii="PMingLiU" w:eastAsia="PMingLiU" w:hAnsi="PMingLiU" w:cs="PMingLiU"/>
          <w:spacing w:val="8"/>
        </w:rPr>
        <w:t>、醌氧化还原酶</w:t>
      </w:r>
      <w:r>
        <w:rPr>
          <w:rStyle w:val="any"/>
          <w:rFonts w:ascii="Times New Roman" w:eastAsia="Times New Roman" w:hAnsi="Times New Roman" w:cs="Times New Roman"/>
          <w:spacing w:val="8"/>
        </w:rPr>
        <w:t>-1 ( NQO-1 )</w:t>
      </w:r>
      <w:r>
        <w:rPr>
          <w:rStyle w:val="any"/>
          <w:rFonts w:ascii="PMingLiU" w:eastAsia="PMingLiU" w:hAnsi="PMingLiU" w:cs="PMingLiU"/>
          <w:spacing w:val="8"/>
        </w:rPr>
        <w:t>和超氧化物歧化酶</w:t>
      </w:r>
      <w:r>
        <w:rPr>
          <w:rStyle w:val="any"/>
          <w:rFonts w:ascii="Times New Roman" w:eastAsia="Times New Roman" w:hAnsi="Times New Roman" w:cs="Times New Roman"/>
          <w:spacing w:val="8"/>
        </w:rPr>
        <w:t>( SOD )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>,</w:t>
      </w:r>
      <w:r>
        <w:rPr>
          <w:rStyle w:val="any"/>
          <w:rFonts w:ascii="PMingLiU" w:eastAsia="PMingLiU" w:hAnsi="PMingLiU" w:cs="PMingLiU"/>
          <w:spacing w:val="8"/>
        </w:rPr>
        <w:t>下调丙二醛</w:t>
      </w:r>
      <w:r>
        <w:rPr>
          <w:rStyle w:val="any"/>
          <w:rFonts w:ascii="Times New Roman" w:eastAsia="Times New Roman" w:hAnsi="Times New Roman" w:cs="Times New Roman"/>
          <w:spacing w:val="8"/>
        </w:rPr>
        <w:t>( MDA )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Times New Roman" w:eastAsia="Times New Roman" w:hAnsi="Times New Roman" w:cs="Times New Roman"/>
          <w:spacing w:val="8"/>
        </w:rPr>
        <w:t>( p &lt; 0.05 )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河北大学</w:t>
      </w:r>
      <w:r>
        <w:rPr>
          <w:rStyle w:val="any"/>
          <w:rFonts w:ascii="Times New Roman" w:eastAsia="Times New Roman" w:hAnsi="Times New Roman" w:cs="Times New Roman"/>
          <w:spacing w:val="8"/>
        </w:rPr>
        <w:t>[11ZF006]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spacing w:val="8"/>
        </w:rPr>
        <w:t>通讯作者：</w:t>
      </w:r>
      <w:r>
        <w:rPr>
          <w:rStyle w:val="any"/>
          <w:rFonts w:ascii="微软雅黑" w:eastAsia="微软雅黑" w:hAnsi="微软雅黑" w:cs="微软雅黑"/>
          <w:spacing w:val="8"/>
        </w:rPr>
        <w:t>Likai Su（音译：苏力凯），疑为</w:t>
      </w:r>
      <w:r>
        <w:rPr>
          <w:rStyle w:val="any"/>
          <w:rFonts w:ascii="PMingLiU" w:eastAsia="PMingLiU" w:hAnsi="PMingLiU" w:cs="PMingLiU"/>
          <w:spacing w:val="8"/>
        </w:rPr>
        <w:t>河北大学附属医院神经内科主任，主任医师，硕士研究生导师。保定市医学会神经内科分会主任委员。</w:t>
      </w:r>
      <w:r>
        <w:rPr>
          <w:rStyle w:val="any"/>
          <w:rFonts w:ascii="Times New Roman" w:eastAsia="Times New Roman" w:hAnsi="Times New Roman" w:cs="Times New Roman"/>
          <w:spacing w:val="8"/>
        </w:rPr>
        <w:t>2000</w:t>
      </w:r>
      <w:r>
        <w:rPr>
          <w:rStyle w:val="any"/>
          <w:rFonts w:ascii="PMingLiU" w:eastAsia="PMingLiU" w:hAnsi="PMingLiU" w:cs="PMingLiU"/>
          <w:spacing w:val="8"/>
        </w:rPr>
        <w:t>年被评为河北省十大科技标兵，保定市十大优秀标兵。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888888"/>
          <w:spacing w:val="8"/>
          <w:sz w:val="21"/>
          <w:szCs w:val="21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1"/>
          <w:szCs w:val="21"/>
        </w:rPr>
        <w:t>https://www.tandfonline.com/doi/full/10.3109/00207454.2015.1042973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spacing w:val="8"/>
          <w:sz w:val="21"/>
          <w:szCs w:val="21"/>
        </w:rPr>
        <w:t>声明：</w:t>
      </w:r>
      <w:r>
        <w:rPr>
          <w:rStyle w:val="any"/>
          <w:rFonts w:ascii="微软雅黑" w:eastAsia="微软雅黑" w:hAnsi="微软雅黑" w:cs="微软雅黑"/>
          <w:spacing w:val="8"/>
          <w:sz w:val="21"/>
          <w:szCs w:val="21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357&amp;idx=4&amp;sn=6b96857a2f638aeae4b1e83c48897f7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