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多组图像数据高度相似或重叠！上海交通大学医学院附属仁济医院论文遭质疑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09:47:35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"Combination of an anti-EGFRvIII antibody CH12 with Rapamycin synergistically inhibits the growth of EGFRvIII+PTEN? glioblastoma in vivo“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抗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EGFRvIII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抗体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CH12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与雷帕霉素联合应用可协同抑制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EGFRvIII+PTEN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胶质母细胞瘤在体内的生长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10.18632/oncotarget.8407)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Xenosphingia jansei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两种不同的蛋白质比预期的更加相似等问题。该论文由来自中国上海复旦大学医学院；上海交通大学医学院附属仁济医院、上海市肿瘤研究所、国家肿瘤相关基因重点实验室；上海交通大学医学院仁济医院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Wen Xu , Yanyu Bi , Juan Kong , Jiqin Zhang , Biao Wang , Kesang Li , Mi Tian , Xiaorong Pan , Bizhi Shi , Jianren Gu , Hua Jiang , Xianming Kong , Zonghai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Zonghai Li(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上海交通大学医学院附属仁济医院、上海市肿瘤研究所、国家肿瘤相关基因重点实验室）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Hua Jiang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（上海交通大学医学院附属仁济医院、上海市肿瘤研究所、国家肿瘤相关基因重点实验室）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Xianming Kong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（上海交通大学医学院仁济医院）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41370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55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Xenosphingia jansei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两种不同的蛋白质比预期的更加相似。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353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01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Begonia boliviensis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上提出多组质疑：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比预期的相似度更高。相似度由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检测到。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140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97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比预期的相似度更高。相似度由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检测到。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61817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81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比想象的更相似。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683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25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比想象的更相似。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62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26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比想象的更相似。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559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94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比想象的更相似。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572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29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该研究得到了上海市科技发展基金资助项目（编号：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12JC1408300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14431903500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14ZR1439300</w:t>
      </w:r>
      <w:r>
        <w:rPr>
          <w:rStyle w:val="any"/>
          <w:rFonts w:ascii="PMingLiU" w:eastAsia="PMingLiU" w:hAnsi="PMingLiU" w:cs="PMingLiU"/>
          <w:spacing w:val="8"/>
        </w:rPr>
        <w:t>）、国家自然科学基金（编号：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81402546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81372468</w:t>
      </w:r>
      <w:r>
        <w:rPr>
          <w:rStyle w:val="any"/>
          <w:rFonts w:ascii="PMingLiU" w:eastAsia="PMingLiU" w:hAnsi="PMingLiU" w:cs="PMingLiU"/>
          <w:spacing w:val="8"/>
        </w:rPr>
        <w:t>）以及上海市卫生局重点项目（编号：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20134011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4194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12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https://pmc.ncbi.nlm.nih.gov/articles/PMC5029739/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https://pubpeer.com/publications/F2ADED1713ACB53015D4D5455EFBEB#0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gyODkzOQ==&amp;action=getalbum&amp;album_id=381594062296948736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691&amp;idx=2&amp;sn=26db657f45a749993251bd3b09d88b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