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条带重复，科研严谨性成焦点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2023年9月，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兰州大学第一医院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发表不到2年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后，因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“Exosomes derived from bone marrow mesenchymal stem cells regulate pyroptosis via the miR-143-3p/myeloid differentiation factor 88 axis to ameliorate intestinal ischemia-reperfusion injury”。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第一作者：兰州大学第一医院的Zhanhai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通讯作者：兰州大学第一医院的Yufang Leng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国家自然科学基金资助项目（81960345），甘肃省自然科学基金项目（21JR11RA097），兰州大学第一医院基金（2020- 2018）。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39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6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54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84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099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8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https://pubpeer.com/publications/C56F3529F7DEB4B0496952CDCE25B7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1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72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805&amp;idx=1&amp;sn=b8e2edcfc9d9efd21cbc44e92bcad1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