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山东大学齐鲁医院病理科主任团队论文多图重复引质疑，学术诚信遭拷问！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5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12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山东大学齐鲁医院病理科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MicroRNA-27b, microRNA-101 and microRNA-128 inhibit angiogenesis by down-regulating vascular endothelial growth factor C expression in gastric cancers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微RNA-27b、微RNA-101和微RNA-128通过下调胃癌中血管内皮生长因子C的表达抑制血管生成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81172351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）或教育部新世纪优秀人才支持计划（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NCET-12-0335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10.18632/oncotarget.6059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Hai-Ting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Peng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18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0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Brachypodium retusum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719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3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618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03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44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43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https://pubpeer.com/publications/03DFB5E4D6C6C65C3D756B727DB520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36&amp;idx=3&amp;sn=2497a4d81d65b84164d429ce5cde13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