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多基金支持论文图像重复：中南大学化学化工学院梁宏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刘又年、广西师范大学化学与药学院黄克斌科研质量受考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05:11:00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768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New Platinum(II) agent induces bimodal death of apoptosis and autophagy against A549 cancer cell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中南大学化学化工学院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Fengyang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Younian Liu(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刘又年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Hong Liang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梁宏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广西师范大学化学与药学院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Kebin Huang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黄克斌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Free Radical Biology and 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74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662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816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的几个印迹面板或印迹面板的一部分看起来出乎意料地相似，尽管有时旋转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度。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标记为红色的印迹看起来与《药物化学杂志》（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- DOI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10.1021/acs.jmedchem.7b0169 - https://pubpeer.com/publications/9B2AD4A8B446775D75F9E620789BC1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8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Bcl2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印迹非常相似。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2880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9508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国家自然科学基金（编号：21401031、21431001、81473102、21761005）、IRT_16R15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广西省自然科学基金（2015GXNSFAA139043、2016GXNSFGA380005）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药用资源化学与分子工程国家重点实验室重点项目（CMEMR2016-A03）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https://pubpeer.com/publications/AC0A51C0D5A585A1EC67AC5A2E8765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https://pubmed.ncbi.nlm.nih.gov/30266678/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642&amp;idx=1&amp;sn=76fad702390e0cea160ce481e0ae1d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