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条件不同，图像重叠？东华大学和复旦大学附属华山医院合作研究遭质疑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2025-04-12 16:30:23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12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近日，《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Colloids and Surfaces B: Biointerfaces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》期刊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2015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年发表的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"Electrospun poly(L-lactic acid-co-?-caprolactone) fibers loaded with heparin and vascular endothelial growth factor to improve blood compatibility and endothelial progenitor cell proliferation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负载肝素与血管内皮生长因子的电纺聚乳酸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-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己内酯纤维改善血液相容性与内皮祖细胞增殖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"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研究（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DOI:10.1016/j.colsurfb.2015.02.023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）被评论人指出数据异常。该研究由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Xi Chen , Jing Wang , Qingzhu An , Dawei Li , Peixi Liu , 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Wei Zhu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（通讯作者）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 xml:space="preserve">  , 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Xiumei Mo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（通讯作者）共同，通讯作者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Xiumei Mo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单位为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东华大学化学化工与生物工程学院生物材料与组织工程实验室，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，通讯作者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 xml:space="preserve"> Wei Zhu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单位为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复旦大学附属华山医院神经外科。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00292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0433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002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2025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年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4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月评论人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Chlorobium limicola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指出：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图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 xml:space="preserve"> 2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的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 xml:space="preserve">B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和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 xml:space="preserve"> C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重叠：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59816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7171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59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消息来源：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https://pubpeer.com/publications/02D3A440EE329645D57FB4B38BECC9#0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如需论文查重，请联系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QQ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号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3953278353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895475" cy="190377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0917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903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复旦大学附属华山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复旦大学附属华山医院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501092&amp;idx=3&amp;sn=17f51718017688fd65668f427d57ce2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hyperlink" Target="https://mp.weixin.qq.com/mp/appmsgalbum?__biz=MzkyNzY3NzY3Nw==&amp;action=getalbum&amp;album_id=3573758197917712396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