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江苏大学知名附属医院论文图片重复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图片重复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08:25:48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7A4442"/>
          <w:spacing w:val="8"/>
          <w:sz w:val="18"/>
          <w:szCs w:val="18"/>
        </w:rPr>
        <w:t>Methyl-CpG-binding domain 3 inhibits epithelial–mesenchymal transition in pancreatic cancer cells via TGF-β/Smad signalling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British Journal of Cancer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 (2017)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PMID: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27898661</w:t>
      </w:r>
    </w:p>
    <w:p>
      <w:pPr>
        <w:pStyle w:val="anyParagraph"/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DOI: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10.1038/bjc.2016.397</w:t>
      </w:r>
    </w:p>
    <w:p>
      <w:pPr>
        <w:pStyle w:val="anyParagraph"/>
        <w:pBdr>
          <w:top w:val="none" w:sz="0" w:space="3" w:color="auto"/>
        </w:pBd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AUTHORS 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8793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563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8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#1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Sholto David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8 hours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Figure 4A and Figure 5A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: According to my reading of the figure legend I think these overlapping areas are unexpected. I've added the red rectangles to show where I mean. Would the authors please double-check?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408" cy="8229600"/>
            <wp:docPr id="100002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050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240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p">
    <w:name w:val="p"/>
    <w:basedOn w:val="Normal"/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5MTg0MDc4NQ==&amp;mid=2247493372&amp;idx=1&amp;sn=5fbd97bd4c9b3c727411983a9482b87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