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太原理工大学国家重点实验室副主任研究遭质疑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09:20:12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97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近日，《Molecular Catalysis》期刊2018年发表的题为"Graphene supported Cu nanoparticles as catalysts for the synthesis of dimethyl carbonate: Effect of carbon black intercalation" 的研究被评论人指出数据问题。该研究由Ruina Shi , Meijiao Ren , Haixia Li , Jinxian Zhao , Shusen Liu , Zhong Li , Jun Ren（通讯作者，实验室副主任）共同完成，通讯单位为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57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after="0" w:line="408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2025年4月评论人Tetraphleps parallelus指出：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5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3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https://pubpeer.com/publications/8B43741464436E4F3E7FE2C4633CFB#0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40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4464&amp;idx=1&amp;sn=d6a842f27e048176d342f8ed007614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