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上海交通大学附属六院</w:t>
        </w:r>
        <w:r>
          <w:rPr>
            <w:rStyle w:val="a"/>
            <w:rFonts w:ascii="Times New Roman" w:eastAsia="Times New Roman" w:hAnsi="Times New Roman" w:cs="Times New Roman"/>
            <w:b w:val="0"/>
            <w:bCs w:val="0"/>
            <w:spacing w:val="8"/>
          </w:rPr>
          <w:t>Cancer Management and Research</w:t>
        </w:r>
        <w:r>
          <w:rPr>
            <w:rStyle w:val="a"/>
            <w:rFonts w:ascii="PMingLiU" w:eastAsia="PMingLiU" w:hAnsi="PMingLiU" w:cs="PMingLiU"/>
            <w:b w:val="0"/>
            <w:bCs w:val="0"/>
            <w:spacing w:val="8"/>
          </w:rPr>
          <w:t>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2025-03-28 22:52:04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59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79206" name=""/>
                    <pic:cNvPicPr>
                      <a:picLocks noChangeAspect="1"/>
                    </pic:cNvPicPr>
                  </pic:nvPicPr>
                  <pic:blipFill>
                    <a:blip xmlns:r="http://schemas.openxmlformats.org/officeDocument/2006/relationships" r:embed="rId6"/>
                    <a:stretch>
                      <a:fillRect/>
                    </a:stretch>
                  </pic:blipFill>
                  <pic:spPr>
                    <a:xfrm>
                      <a:off x="0" y="0"/>
                      <a:ext cx="5486400" cy="2559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HOXA10 knockdown inhibits proliferation, induces cell cycle arrest and apoptosis in hepatocellular carcinoma cells through HDAC1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Cancer Management and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上海交通大学附属第六人民医院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2019年7月26日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10.2147/cmar.s199239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Background: </w:t>
      </w:r>
      <w:r>
        <w:rPr>
          <w:rStyle w:val="any"/>
          <w:rFonts w:ascii="Segoe UI" w:eastAsia="Segoe UI" w:hAnsi="Segoe UI" w:cs="Segoe UI"/>
          <w:b w:val="0"/>
          <w:bCs w:val="0"/>
          <w:i w:val="0"/>
          <w:iCs w:val="0"/>
          <w:caps w:val="0"/>
          <w:color w:val="212121"/>
          <w:spacing w:val="0"/>
        </w:rPr>
        <w:t>Homeobox A10 (HOXA10) has been implicated in the development and progression of various human cancers. However, the precise biological functions of HOXA10 in hepatocellular carcinoma (HCC) have not been defined.</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背景：</w:t>
      </w:r>
      <w:r>
        <w:rPr>
          <w:rStyle w:val="any"/>
          <w:rFonts w:ascii="Segoe UI" w:eastAsia="Segoe UI" w:hAnsi="Segoe UI" w:cs="Segoe UI"/>
          <w:b w:val="0"/>
          <w:bCs w:val="0"/>
          <w:i w:val="0"/>
          <w:iCs w:val="0"/>
          <w:caps w:val="0"/>
          <w:color w:val="212121"/>
          <w:spacing w:val="0"/>
          <w:lang w:val="zh-CN" w:eastAsia="zh-CN"/>
        </w:rPr>
        <w:t>Homeobox A10</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HOXA10</w:t>
      </w:r>
      <w:r>
        <w:rPr>
          <w:rStyle w:val="any"/>
          <w:rFonts w:ascii="PMingLiU" w:eastAsia="PMingLiU" w:hAnsi="PMingLiU" w:cs="PMingLiU"/>
          <w:b w:val="0"/>
          <w:bCs w:val="0"/>
          <w:i w:val="0"/>
          <w:iCs w:val="0"/>
          <w:caps w:val="0"/>
          <w:color w:val="212121"/>
          <w:spacing w:val="0"/>
          <w:lang w:val="zh-CN" w:eastAsia="zh-CN"/>
        </w:rPr>
        <w:t>）与多种人类癌症的发生和发展有关。然而，</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在肝细胞癌（</w:t>
      </w:r>
      <w:r>
        <w:rPr>
          <w:rStyle w:val="any"/>
          <w:rFonts w:ascii="Segoe UI" w:eastAsia="Segoe UI" w:hAnsi="Segoe UI" w:cs="Segoe UI"/>
          <w:b w:val="0"/>
          <w:bCs w:val="0"/>
          <w:i w:val="0"/>
          <w:iCs w:val="0"/>
          <w:caps w:val="0"/>
          <w:color w:val="212121"/>
          <w:spacing w:val="0"/>
          <w:lang w:val="zh-CN" w:eastAsia="zh-CN"/>
        </w:rPr>
        <w:t>HCC</w:t>
      </w:r>
      <w:r>
        <w:rPr>
          <w:rStyle w:val="any"/>
          <w:rFonts w:ascii="PMingLiU" w:eastAsia="PMingLiU" w:hAnsi="PMingLiU" w:cs="PMingLiU"/>
          <w:b w:val="0"/>
          <w:bCs w:val="0"/>
          <w:i w:val="0"/>
          <w:iCs w:val="0"/>
          <w:caps w:val="0"/>
          <w:color w:val="212121"/>
          <w:spacing w:val="0"/>
          <w:lang w:val="zh-CN" w:eastAsia="zh-CN"/>
        </w:rPr>
        <w:t>）中的确切生物学功能尚未明确。</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Methods: </w:t>
      </w:r>
      <w:r>
        <w:rPr>
          <w:rStyle w:val="any"/>
          <w:rFonts w:ascii="Segoe UI" w:eastAsia="Segoe UI" w:hAnsi="Segoe UI" w:cs="Segoe UI"/>
          <w:b w:val="0"/>
          <w:bCs w:val="0"/>
          <w:i w:val="0"/>
          <w:iCs w:val="0"/>
          <w:caps w:val="0"/>
          <w:color w:val="212121"/>
          <w:spacing w:val="0"/>
        </w:rPr>
        <w:t>In this study, we examined mRNA expression by quantitative real-time PCR (qRT-PCR) of HOXA10 as well as histone deacetylase (HDAC) and protein levels by Western blot of HOXA10, HDAC1, Cyclin D1, proliferating cell nuclear antigen (PCNA), Survivin and p53 acetylation in HCC tissues and cell lines. We also assessed cell proliferation using Cell Counting Kit-8 (CCK-8) and analyzed cell cycle by flow cytometry. Furthermore, tumor growth of HCC cells in vivo was monitored using the nude mouse xenograft model. Finally, HDAC1 promoter activity and binding in HCC cell lines were detected by luciferase reporter assay and chromatin immunoprecipitation (ChIP), respectively.</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方法：本研究通过定量实时</w:t>
      </w:r>
      <w:r>
        <w:rPr>
          <w:rStyle w:val="any"/>
          <w:rFonts w:ascii="Segoe UI" w:eastAsia="Segoe UI" w:hAnsi="Segoe UI" w:cs="Segoe UI"/>
          <w:b w:val="0"/>
          <w:bCs w:val="0"/>
          <w:i w:val="0"/>
          <w:iCs w:val="0"/>
          <w:caps w:val="0"/>
          <w:color w:val="212121"/>
          <w:spacing w:val="0"/>
          <w:lang w:val="zh-CN" w:eastAsia="zh-CN"/>
        </w:rPr>
        <w:t xml:space="preserve"> PCR</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qRT-PCR</w:t>
      </w:r>
      <w:r>
        <w:rPr>
          <w:rStyle w:val="any"/>
          <w:rFonts w:ascii="PMingLiU" w:eastAsia="PMingLiU" w:hAnsi="PMingLiU" w:cs="PMingLiU"/>
          <w:b w:val="0"/>
          <w:bCs w:val="0"/>
          <w:i w:val="0"/>
          <w:iCs w:val="0"/>
          <w:caps w:val="0"/>
          <w:color w:val="212121"/>
          <w:spacing w:val="0"/>
          <w:lang w:val="zh-CN" w:eastAsia="zh-CN"/>
        </w:rPr>
        <w:t>）检测</w:t>
      </w:r>
      <w:r>
        <w:rPr>
          <w:rStyle w:val="any"/>
          <w:rFonts w:ascii="Segoe UI" w:eastAsia="Segoe UI" w:hAnsi="Segoe UI" w:cs="Segoe UI"/>
          <w:b w:val="0"/>
          <w:bCs w:val="0"/>
          <w:i w:val="0"/>
          <w:iCs w:val="0"/>
          <w:caps w:val="0"/>
          <w:color w:val="212121"/>
          <w:spacing w:val="0"/>
          <w:lang w:val="zh-CN" w:eastAsia="zh-CN"/>
        </w:rPr>
        <w:t xml:space="preserve"> HOXA10 mRNA </w:t>
      </w:r>
      <w:r>
        <w:rPr>
          <w:rStyle w:val="any"/>
          <w:rFonts w:ascii="PMingLiU" w:eastAsia="PMingLiU" w:hAnsi="PMingLiU" w:cs="PMingLiU"/>
          <w:b w:val="0"/>
          <w:bCs w:val="0"/>
          <w:i w:val="0"/>
          <w:iCs w:val="0"/>
          <w:caps w:val="0"/>
          <w:color w:val="212121"/>
          <w:spacing w:val="0"/>
          <w:lang w:val="zh-CN" w:eastAsia="zh-CN"/>
        </w:rPr>
        <w:t>表达，以及通过</w:t>
      </w:r>
      <w:r>
        <w:rPr>
          <w:rStyle w:val="any"/>
          <w:rFonts w:ascii="Segoe UI" w:eastAsia="Segoe UI" w:hAnsi="Segoe UI" w:cs="Segoe UI"/>
          <w:b w:val="0"/>
          <w:bCs w:val="0"/>
          <w:i w:val="0"/>
          <w:iCs w:val="0"/>
          <w:caps w:val="0"/>
          <w:color w:val="212121"/>
          <w:spacing w:val="0"/>
          <w:lang w:val="zh-CN" w:eastAsia="zh-CN"/>
        </w:rPr>
        <w:t xml:space="preserve"> Western blot </w:t>
      </w:r>
      <w:r>
        <w:rPr>
          <w:rStyle w:val="any"/>
          <w:rFonts w:ascii="PMingLiU" w:eastAsia="PMingLiU" w:hAnsi="PMingLiU" w:cs="PMingLiU"/>
          <w:b w:val="0"/>
          <w:bCs w:val="0"/>
          <w:i w:val="0"/>
          <w:iCs w:val="0"/>
          <w:caps w:val="0"/>
          <w:color w:val="212121"/>
          <w:spacing w:val="0"/>
          <w:lang w:val="zh-CN" w:eastAsia="zh-CN"/>
        </w:rPr>
        <w:t>检测</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组织和细胞系中</w:t>
      </w:r>
      <w:r>
        <w:rPr>
          <w:rStyle w:val="any"/>
          <w:rFonts w:ascii="Segoe UI" w:eastAsia="Segoe UI" w:hAnsi="Segoe UI" w:cs="Segoe UI"/>
          <w:b w:val="0"/>
          <w:bCs w:val="0"/>
          <w:i w:val="0"/>
          <w:iCs w:val="0"/>
          <w:caps w:val="0"/>
          <w:color w:val="212121"/>
          <w:spacing w:val="0"/>
          <w:lang w:val="zh-CN" w:eastAsia="zh-CN"/>
        </w:rPr>
        <w:t xml:space="preserve"> HOXA10</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HDAC1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Cyclin D1</w:t>
      </w:r>
      <w:r>
        <w:rPr>
          <w:rStyle w:val="any"/>
          <w:rFonts w:ascii="PMingLiU" w:eastAsia="PMingLiU" w:hAnsi="PMingLiU" w:cs="PMingLiU"/>
          <w:b w:val="0"/>
          <w:bCs w:val="0"/>
          <w:i w:val="0"/>
          <w:iCs w:val="0"/>
          <w:caps w:val="0"/>
          <w:color w:val="212121"/>
          <w:spacing w:val="0"/>
          <w:lang w:val="zh-CN" w:eastAsia="zh-CN"/>
        </w:rPr>
        <w:t>、增殖细胞核抗原（</w:t>
      </w:r>
      <w:r>
        <w:rPr>
          <w:rStyle w:val="any"/>
          <w:rFonts w:ascii="Segoe UI" w:eastAsia="Segoe UI" w:hAnsi="Segoe UI" w:cs="Segoe UI"/>
          <w:b w:val="0"/>
          <w:bCs w:val="0"/>
          <w:i w:val="0"/>
          <w:iCs w:val="0"/>
          <w:caps w:val="0"/>
          <w:color w:val="212121"/>
          <w:spacing w:val="0"/>
          <w:lang w:val="zh-CN" w:eastAsia="zh-CN"/>
        </w:rPr>
        <w:t>PCNA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Survivin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乙酰化水平。我们还使用细胞计数试剂盒</w:t>
      </w:r>
      <w:r>
        <w:rPr>
          <w:rStyle w:val="any"/>
          <w:rFonts w:ascii="Segoe UI" w:eastAsia="Segoe UI" w:hAnsi="Segoe UI" w:cs="Segoe UI"/>
          <w:b w:val="0"/>
          <w:bCs w:val="0"/>
          <w:i w:val="0"/>
          <w:iCs w:val="0"/>
          <w:caps w:val="0"/>
          <w:color w:val="212121"/>
          <w:spacing w:val="0"/>
          <w:lang w:val="zh-CN" w:eastAsia="zh-CN"/>
        </w:rPr>
        <w:t>-8</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CCK-8</w:t>
      </w:r>
      <w:r>
        <w:rPr>
          <w:rStyle w:val="any"/>
          <w:rFonts w:ascii="PMingLiU" w:eastAsia="PMingLiU" w:hAnsi="PMingLiU" w:cs="PMingLiU"/>
          <w:b w:val="0"/>
          <w:bCs w:val="0"/>
          <w:i w:val="0"/>
          <w:iCs w:val="0"/>
          <w:caps w:val="0"/>
          <w:color w:val="212121"/>
          <w:spacing w:val="0"/>
          <w:lang w:val="zh-CN" w:eastAsia="zh-CN"/>
        </w:rPr>
        <w:t>）评估细胞增殖，并通过流式细胞术分析细胞周期。此外，使用裸鼠异种移植模型监测</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细胞在体内的肿瘤生长。最后，通过荧光素酶报告基因检测和染色质免疫沉淀（</w:t>
      </w:r>
      <w:r>
        <w:rPr>
          <w:rStyle w:val="any"/>
          <w:rFonts w:ascii="Segoe UI" w:eastAsia="Segoe UI" w:hAnsi="Segoe UI" w:cs="Segoe UI"/>
          <w:b w:val="0"/>
          <w:bCs w:val="0"/>
          <w:i w:val="0"/>
          <w:iCs w:val="0"/>
          <w:caps w:val="0"/>
          <w:color w:val="212121"/>
          <w:spacing w:val="0"/>
          <w:lang w:val="zh-CN" w:eastAsia="zh-CN"/>
        </w:rPr>
        <w:t>ChIP</w:t>
      </w:r>
      <w:r>
        <w:rPr>
          <w:rStyle w:val="any"/>
          <w:rFonts w:ascii="PMingLiU" w:eastAsia="PMingLiU" w:hAnsi="PMingLiU" w:cs="PMingLiU"/>
          <w:b w:val="0"/>
          <w:bCs w:val="0"/>
          <w:i w:val="0"/>
          <w:iCs w:val="0"/>
          <w:caps w:val="0"/>
          <w:color w:val="212121"/>
          <w:spacing w:val="0"/>
          <w:lang w:val="zh-CN" w:eastAsia="zh-CN"/>
        </w:rPr>
        <w:t>）分别检测</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细胞系中</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启动子活性和结合。</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Results: </w:t>
      </w:r>
      <w:r>
        <w:rPr>
          <w:rStyle w:val="any"/>
          <w:rFonts w:ascii="Segoe UI" w:eastAsia="Segoe UI" w:hAnsi="Segoe UI" w:cs="Segoe UI"/>
          <w:b w:val="0"/>
          <w:bCs w:val="0"/>
          <w:i w:val="0"/>
          <w:iCs w:val="0"/>
          <w:caps w:val="0"/>
          <w:color w:val="212121"/>
          <w:spacing w:val="0"/>
        </w:rPr>
        <w:t>We uncovered the elevated expression of HOXA10 in HCC tissues compared to adjacent normal liver tissues. RNA interference-mediated knockdown of HOXA10 inhibited HCC cell proliferation both in vitro and in vivo. HOXA10 knockdown also induced cell cycle arrest at G0/G1 phase and apoptosis, which were accompanied with the reduced expression of Cyclin D1, PCNA and Survivin. Notably, HOXA10 knockdown enhanced p53 acetylation (Lys382), which is crucial to the activation of p53. Likewise, HOXA10 knockdown suppressed the transcription of HDAC1, a potential deacetylase for p53. In line with these observations, HDAC1 downregulation abrogated the effects of HOXA10 overexpression on proliferation, cell cycle progression, apoptosis and p53 acetylation, indicating the role of HDAC1 in mediating HOXA10 functions.</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结果：与邻近的正常肝组织相比，我们发现</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组织中</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表达上调。</w:t>
      </w:r>
      <w:r>
        <w:rPr>
          <w:rStyle w:val="any"/>
          <w:rFonts w:ascii="Segoe UI" w:eastAsia="Segoe UI" w:hAnsi="Segoe UI" w:cs="Segoe UI"/>
          <w:b w:val="0"/>
          <w:bCs w:val="0"/>
          <w:i w:val="0"/>
          <w:iCs w:val="0"/>
          <w:caps w:val="0"/>
          <w:color w:val="212121"/>
          <w:spacing w:val="0"/>
          <w:lang w:val="zh-CN" w:eastAsia="zh-CN"/>
        </w:rPr>
        <w:t xml:space="preserve">RNA </w:t>
      </w:r>
      <w:r>
        <w:rPr>
          <w:rStyle w:val="any"/>
          <w:rFonts w:ascii="PMingLiU" w:eastAsia="PMingLiU" w:hAnsi="PMingLiU" w:cs="PMingLiU"/>
          <w:b w:val="0"/>
          <w:bCs w:val="0"/>
          <w:i w:val="0"/>
          <w:iCs w:val="0"/>
          <w:caps w:val="0"/>
          <w:color w:val="212121"/>
          <w:spacing w:val="0"/>
          <w:lang w:val="zh-CN" w:eastAsia="zh-CN"/>
        </w:rPr>
        <w:t>干扰介导的</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敲低在体外和体内均抑制了</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细胞的增殖。</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敲低还诱导细胞周期在</w:t>
      </w:r>
      <w:r>
        <w:rPr>
          <w:rStyle w:val="any"/>
          <w:rFonts w:ascii="Segoe UI" w:eastAsia="Segoe UI" w:hAnsi="Segoe UI" w:cs="Segoe UI"/>
          <w:b w:val="0"/>
          <w:bCs w:val="0"/>
          <w:i w:val="0"/>
          <w:iCs w:val="0"/>
          <w:caps w:val="0"/>
          <w:color w:val="212121"/>
          <w:spacing w:val="0"/>
          <w:lang w:val="zh-CN" w:eastAsia="zh-CN"/>
        </w:rPr>
        <w:t xml:space="preserve"> G0/G1 </w:t>
      </w:r>
      <w:r>
        <w:rPr>
          <w:rStyle w:val="any"/>
          <w:rFonts w:ascii="PMingLiU" w:eastAsia="PMingLiU" w:hAnsi="PMingLiU" w:cs="PMingLiU"/>
          <w:b w:val="0"/>
          <w:bCs w:val="0"/>
          <w:i w:val="0"/>
          <w:iCs w:val="0"/>
          <w:caps w:val="0"/>
          <w:color w:val="212121"/>
          <w:spacing w:val="0"/>
          <w:lang w:val="zh-CN" w:eastAsia="zh-CN"/>
        </w:rPr>
        <w:t>期停滞和凋亡，伴随着</w:t>
      </w:r>
      <w:r>
        <w:rPr>
          <w:rStyle w:val="any"/>
          <w:rFonts w:ascii="Segoe UI" w:eastAsia="Segoe UI" w:hAnsi="Segoe UI" w:cs="Segoe UI"/>
          <w:b w:val="0"/>
          <w:bCs w:val="0"/>
          <w:i w:val="0"/>
          <w:iCs w:val="0"/>
          <w:caps w:val="0"/>
          <w:color w:val="212121"/>
          <w:spacing w:val="0"/>
          <w:lang w:val="zh-CN" w:eastAsia="zh-CN"/>
        </w:rPr>
        <w:t xml:space="preserve"> Cyclin D1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PCNA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Survivin </w:t>
      </w:r>
      <w:r>
        <w:rPr>
          <w:rStyle w:val="any"/>
          <w:rFonts w:ascii="PMingLiU" w:eastAsia="PMingLiU" w:hAnsi="PMingLiU" w:cs="PMingLiU"/>
          <w:b w:val="0"/>
          <w:bCs w:val="0"/>
          <w:i w:val="0"/>
          <w:iCs w:val="0"/>
          <w:caps w:val="0"/>
          <w:color w:val="212121"/>
          <w:spacing w:val="0"/>
          <w:lang w:val="zh-CN" w:eastAsia="zh-CN"/>
        </w:rPr>
        <w:t>表达的降低。值得注意的是，</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敲低增强了</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乙酰化（</w:t>
      </w:r>
      <w:r>
        <w:rPr>
          <w:rStyle w:val="any"/>
          <w:rFonts w:ascii="Segoe UI" w:eastAsia="Segoe UI" w:hAnsi="Segoe UI" w:cs="Segoe UI"/>
          <w:b w:val="0"/>
          <w:bCs w:val="0"/>
          <w:i w:val="0"/>
          <w:iCs w:val="0"/>
          <w:caps w:val="0"/>
          <w:color w:val="212121"/>
          <w:spacing w:val="0"/>
          <w:lang w:val="zh-CN" w:eastAsia="zh-CN"/>
        </w:rPr>
        <w:t>Lys382</w:t>
      </w:r>
      <w:r>
        <w:rPr>
          <w:rStyle w:val="any"/>
          <w:rFonts w:ascii="PMingLiU" w:eastAsia="PMingLiU" w:hAnsi="PMingLiU" w:cs="PMingLiU"/>
          <w:b w:val="0"/>
          <w:bCs w:val="0"/>
          <w:i w:val="0"/>
          <w:iCs w:val="0"/>
          <w:caps w:val="0"/>
          <w:color w:val="212121"/>
          <w:spacing w:val="0"/>
          <w:lang w:val="zh-CN" w:eastAsia="zh-CN"/>
        </w:rPr>
        <w:t>），这对于</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的激活至关重要。同样，</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敲低抑制了</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的转录，</w:t>
      </w:r>
      <w:r>
        <w:rPr>
          <w:rStyle w:val="any"/>
          <w:rFonts w:ascii="Segoe UI" w:eastAsia="Segoe UI" w:hAnsi="Segoe UI" w:cs="Segoe UI"/>
          <w:b w:val="0"/>
          <w:bCs w:val="0"/>
          <w:i w:val="0"/>
          <w:iCs w:val="0"/>
          <w:caps w:val="0"/>
          <w:color w:val="212121"/>
          <w:spacing w:val="0"/>
          <w:lang w:val="zh-CN" w:eastAsia="zh-CN"/>
        </w:rPr>
        <w:t xml:space="preserve">HDAC1 </w:t>
      </w:r>
      <w:r>
        <w:rPr>
          <w:rStyle w:val="any"/>
          <w:rFonts w:ascii="PMingLiU" w:eastAsia="PMingLiU" w:hAnsi="PMingLiU" w:cs="PMingLiU"/>
          <w:b w:val="0"/>
          <w:bCs w:val="0"/>
          <w:i w:val="0"/>
          <w:iCs w:val="0"/>
          <w:caps w:val="0"/>
          <w:color w:val="212121"/>
          <w:spacing w:val="0"/>
          <w:lang w:val="zh-CN" w:eastAsia="zh-CN"/>
        </w:rPr>
        <w:t>是</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的潜在去乙酰化酶。与这些观察结果一致，</w:t>
      </w:r>
      <w:r>
        <w:rPr>
          <w:rStyle w:val="any"/>
          <w:rFonts w:ascii="Segoe UI" w:eastAsia="Segoe UI" w:hAnsi="Segoe UI" w:cs="Segoe UI"/>
          <w:b w:val="0"/>
          <w:bCs w:val="0"/>
          <w:i w:val="0"/>
          <w:iCs w:val="0"/>
          <w:caps w:val="0"/>
          <w:color w:val="212121"/>
          <w:spacing w:val="0"/>
          <w:lang w:val="zh-CN" w:eastAsia="zh-CN"/>
        </w:rPr>
        <w:t xml:space="preserve">HDAC1 </w:t>
      </w:r>
      <w:r>
        <w:rPr>
          <w:rStyle w:val="any"/>
          <w:rFonts w:ascii="PMingLiU" w:eastAsia="PMingLiU" w:hAnsi="PMingLiU" w:cs="PMingLiU"/>
          <w:b w:val="0"/>
          <w:bCs w:val="0"/>
          <w:i w:val="0"/>
          <w:iCs w:val="0"/>
          <w:caps w:val="0"/>
          <w:color w:val="212121"/>
          <w:spacing w:val="0"/>
          <w:lang w:val="zh-CN" w:eastAsia="zh-CN"/>
        </w:rPr>
        <w:t>的下调消除了</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过表达对增殖、细胞周期进程、凋亡和</w:t>
      </w:r>
      <w:r>
        <w:rPr>
          <w:rStyle w:val="any"/>
          <w:rFonts w:ascii="Segoe UI" w:eastAsia="Segoe UI" w:hAnsi="Segoe UI" w:cs="Segoe UI"/>
          <w:b w:val="0"/>
          <w:bCs w:val="0"/>
          <w:i w:val="0"/>
          <w:iCs w:val="0"/>
          <w:caps w:val="0"/>
          <w:color w:val="212121"/>
          <w:spacing w:val="0"/>
          <w:lang w:val="zh-CN" w:eastAsia="zh-CN"/>
        </w:rPr>
        <w:t xml:space="preserve"> p53 </w:t>
      </w:r>
      <w:r>
        <w:rPr>
          <w:rStyle w:val="any"/>
          <w:rFonts w:ascii="PMingLiU" w:eastAsia="PMingLiU" w:hAnsi="PMingLiU" w:cs="PMingLiU"/>
          <w:b w:val="0"/>
          <w:bCs w:val="0"/>
          <w:i w:val="0"/>
          <w:iCs w:val="0"/>
          <w:caps w:val="0"/>
          <w:color w:val="212121"/>
          <w:spacing w:val="0"/>
          <w:lang w:val="zh-CN" w:eastAsia="zh-CN"/>
        </w:rPr>
        <w:t>乙酰化的影响，表明</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在介导</w:t>
      </w:r>
      <w:r>
        <w:rPr>
          <w:rStyle w:val="any"/>
          <w:rFonts w:ascii="Segoe UI" w:eastAsia="Segoe UI" w:hAnsi="Segoe UI" w:cs="Segoe UI"/>
          <w:b w:val="0"/>
          <w:bCs w:val="0"/>
          <w:i w:val="0"/>
          <w:iCs w:val="0"/>
          <w:caps w:val="0"/>
          <w:color w:val="212121"/>
          <w:spacing w:val="0"/>
          <w:lang w:val="zh-CN" w:eastAsia="zh-CN"/>
        </w:rPr>
        <w:t xml:space="preserve"> HOXA10 </w:t>
      </w:r>
      <w:r>
        <w:rPr>
          <w:rStyle w:val="any"/>
          <w:rFonts w:ascii="PMingLiU" w:eastAsia="PMingLiU" w:hAnsi="PMingLiU" w:cs="PMingLiU"/>
          <w:b w:val="0"/>
          <w:bCs w:val="0"/>
          <w:i w:val="0"/>
          <w:iCs w:val="0"/>
          <w:caps w:val="0"/>
          <w:color w:val="212121"/>
          <w:spacing w:val="0"/>
          <w:lang w:val="zh-CN" w:eastAsia="zh-CN"/>
        </w:rPr>
        <w:t>功能中的作用。</w:t>
      </w:r>
    </w:p>
    <w:p>
      <w:pPr>
        <w:pStyle w:val="p"/>
        <w:widowControl/>
        <w:pBdr>
          <w:top w:val="none" w:sz="0" w:space="0" w:color="auto"/>
          <w:left w:val="none" w:sz="0" w:space="0" w:color="auto"/>
          <w:bottom w:val="none" w:sz="0" w:space="0" w:color="auto"/>
          <w:right w:val="none" w:sz="0" w:space="0" w:color="auto"/>
        </w:pBdr>
        <w:shd w:val="clear" w:color="auto" w:fill="FFFFFF"/>
        <w:spacing w:before="288" w:after="288" w:line="360"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bCs/>
          <w:i w:val="0"/>
          <w:iCs w:val="0"/>
          <w:caps w:val="0"/>
          <w:color w:val="212121"/>
          <w:spacing w:val="0"/>
        </w:rPr>
        <w:t>Conclusion: </w:t>
      </w:r>
      <w:r>
        <w:rPr>
          <w:rStyle w:val="any"/>
          <w:rFonts w:ascii="Segoe UI" w:eastAsia="Segoe UI" w:hAnsi="Segoe UI" w:cs="Segoe UI"/>
          <w:b w:val="0"/>
          <w:bCs w:val="0"/>
          <w:i w:val="0"/>
          <w:iCs w:val="0"/>
          <w:caps w:val="0"/>
          <w:color w:val="212121"/>
          <w:spacing w:val="0"/>
        </w:rPr>
        <w:t>Our results demonstrate that HOXA10 knockdown inhibits proliferation, induces cell cycle arrest and apoptosis in HCC cells by regulating HDAC1 transcription.</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结论：我们的结果表明，通过调节</w:t>
      </w:r>
      <w:r>
        <w:rPr>
          <w:rStyle w:val="any"/>
          <w:rFonts w:ascii="Segoe UI" w:eastAsia="Segoe UI" w:hAnsi="Segoe UI" w:cs="Segoe UI"/>
          <w:b w:val="0"/>
          <w:bCs w:val="0"/>
          <w:i w:val="0"/>
          <w:iCs w:val="0"/>
          <w:caps w:val="0"/>
          <w:color w:val="212121"/>
          <w:spacing w:val="0"/>
          <w:lang w:val="zh-CN" w:eastAsia="zh-CN"/>
        </w:rPr>
        <w:t xml:space="preserve"> HDAC1 </w:t>
      </w:r>
      <w:r>
        <w:rPr>
          <w:rStyle w:val="any"/>
          <w:rFonts w:ascii="PMingLiU" w:eastAsia="PMingLiU" w:hAnsi="PMingLiU" w:cs="PMingLiU"/>
          <w:b w:val="0"/>
          <w:bCs w:val="0"/>
          <w:i w:val="0"/>
          <w:iCs w:val="0"/>
          <w:caps w:val="0"/>
          <w:color w:val="212121"/>
          <w:spacing w:val="0"/>
          <w:lang w:val="zh-CN" w:eastAsia="zh-CN"/>
        </w:rPr>
        <w:t>转录，</w:t>
      </w:r>
      <w:r>
        <w:rPr>
          <w:rStyle w:val="any"/>
          <w:rFonts w:ascii="Segoe UI" w:eastAsia="Segoe UI" w:hAnsi="Segoe UI" w:cs="Segoe UI"/>
          <w:b w:val="0"/>
          <w:bCs w:val="0"/>
          <w:i w:val="0"/>
          <w:iCs w:val="0"/>
          <w:caps w:val="0"/>
          <w:color w:val="212121"/>
          <w:spacing w:val="0"/>
          <w:lang w:val="zh-CN" w:eastAsia="zh-CN"/>
        </w:rPr>
        <w:t xml:space="preserve">HOXA10 </w:t>
      </w:r>
      <w:r>
        <w:rPr>
          <w:rStyle w:val="any"/>
          <w:rFonts w:ascii="PMingLiU" w:eastAsia="PMingLiU" w:hAnsi="PMingLiU" w:cs="PMingLiU"/>
          <w:b w:val="0"/>
          <w:bCs w:val="0"/>
          <w:i w:val="0"/>
          <w:iCs w:val="0"/>
          <w:caps w:val="0"/>
          <w:color w:val="212121"/>
          <w:spacing w:val="0"/>
          <w:lang w:val="zh-CN" w:eastAsia="zh-CN"/>
        </w:rPr>
        <w:t>敲低抑制了</w:t>
      </w:r>
      <w:r>
        <w:rPr>
          <w:rStyle w:val="any"/>
          <w:rFonts w:ascii="Segoe UI" w:eastAsia="Segoe UI" w:hAnsi="Segoe UI" w:cs="Segoe UI"/>
          <w:b w:val="0"/>
          <w:bCs w:val="0"/>
          <w:i w:val="0"/>
          <w:iCs w:val="0"/>
          <w:caps w:val="0"/>
          <w:color w:val="212121"/>
          <w:spacing w:val="0"/>
          <w:lang w:val="zh-CN" w:eastAsia="zh-CN"/>
        </w:rPr>
        <w:t xml:space="preserve"> HCC </w:t>
      </w:r>
      <w:r>
        <w:rPr>
          <w:rStyle w:val="any"/>
          <w:rFonts w:ascii="PMingLiU" w:eastAsia="PMingLiU" w:hAnsi="PMingLiU" w:cs="PMingLiU"/>
          <w:b w:val="0"/>
          <w:bCs w:val="0"/>
          <w:i w:val="0"/>
          <w:iCs w:val="0"/>
          <w:caps w:val="0"/>
          <w:color w:val="212121"/>
          <w:spacing w:val="0"/>
          <w:lang w:val="zh-CN" w:eastAsia="zh-CN"/>
        </w:rPr>
        <w:t>细胞的增殖，诱导细胞周期阻滞和凋亡。</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#1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rPr>
        <w:t> </w:t>
      </w:r>
      <w:r>
        <w:rPr>
          <w:rStyle w:val="any"/>
          <w:rFonts w:ascii="Times New Roman" w:eastAsia="Times New Roman" w:hAnsi="Times New Roman" w:cs="Times New Roman"/>
          <w:color w:val="3E3E3E"/>
          <w:spacing w:val="9"/>
        </w:rPr>
        <w:t>comment accepted January 2023</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2023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1 </w:t>
      </w:r>
      <w:r>
        <w:rPr>
          <w:rStyle w:val="any"/>
          <w:rFonts w:ascii="PMingLiU" w:eastAsia="PMingLiU" w:hAnsi="PMingLiU" w:cs="PMingLiU"/>
          <w:color w:val="3E3E3E"/>
          <w:spacing w:val="9"/>
          <w:lang w:val="zh-CN" w:eastAsia="zh-CN"/>
        </w:rPr>
        <w:t>月</w:t>
      </w:r>
    </w:p>
    <w:p>
      <w:pPr>
        <w:pStyle w:val="anyParagraph"/>
        <w:numPr>
          <w:ilvl w:val="0"/>
          <w:numId w:val="1"/>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[left]</w:t>
      </w:r>
    </w:p>
    <w:p>
      <w:pPr>
        <w:shd w:val="clear" w:color="auto" w:fill="FFFFFF"/>
        <w:spacing w:before="0" w:after="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2A.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左</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2A</w:t>
      </w:r>
      <w:r>
        <w:rPr>
          <w:rStyle w:val="any"/>
          <w:rFonts w:ascii="PMingLiU" w:eastAsia="PMingLiU" w:hAnsi="PMingLiU" w:cs="PMingLiU"/>
          <w:color w:val="3E3E3E"/>
          <w:spacing w:val="9"/>
          <w:lang w:val="zh-CN" w:eastAsia="zh-CN"/>
        </w:rPr>
        <w:t>。</w:t>
      </w:r>
    </w:p>
    <w:p>
      <w:pPr>
        <w:pStyle w:val="anyParagraph"/>
        <w:numPr>
          <w:ilvl w:val="0"/>
          <w:numId w:val="1"/>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[right]</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6b from "Discovery of LAMP-2A as potential biomarkers for glioblastoma development by modulating apoptosis through N-CoR degradation" (</w:t>
      </w:r>
      <w:r>
        <w:rPr>
          <w:rStyle w:val="any"/>
          <w:rFonts w:ascii="Times New Roman" w:eastAsia="Times New Roman" w:hAnsi="Times New Roman" w:cs="Times New Roman"/>
          <w:color w:val="3E3E3E"/>
          <w:spacing w:val="9"/>
        </w:rPr>
        <w:t>Wang et al 2021</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右</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6b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通过</w:t>
      </w:r>
      <w:r>
        <w:rPr>
          <w:rStyle w:val="any"/>
          <w:rFonts w:ascii="Times New Roman" w:eastAsia="Times New Roman" w:hAnsi="Times New Roman" w:cs="Times New Roman"/>
          <w:color w:val="3E3E3E"/>
          <w:spacing w:val="9"/>
          <w:lang w:val="zh-CN" w:eastAsia="zh-CN"/>
        </w:rPr>
        <w:t xml:space="preserve"> N-CoR </w:t>
      </w:r>
      <w:r>
        <w:rPr>
          <w:rStyle w:val="any"/>
          <w:rFonts w:ascii="PMingLiU" w:eastAsia="PMingLiU" w:hAnsi="PMingLiU" w:cs="PMingLiU"/>
          <w:color w:val="3E3E3E"/>
          <w:spacing w:val="9"/>
          <w:lang w:val="zh-CN" w:eastAsia="zh-CN"/>
        </w:rPr>
        <w:t>降解调节细胞凋亡，发现</w:t>
      </w:r>
      <w:r>
        <w:rPr>
          <w:rStyle w:val="any"/>
          <w:rFonts w:ascii="Times New Roman" w:eastAsia="Times New Roman" w:hAnsi="Times New Roman" w:cs="Times New Roman"/>
          <w:color w:val="3E3E3E"/>
          <w:spacing w:val="9"/>
          <w:lang w:val="zh-CN" w:eastAsia="zh-CN"/>
        </w:rPr>
        <w:t xml:space="preserve"> LAMP-2A </w:t>
      </w:r>
      <w:r>
        <w:rPr>
          <w:rStyle w:val="any"/>
          <w:rFonts w:ascii="PMingLiU" w:eastAsia="PMingLiU" w:hAnsi="PMingLiU" w:cs="PMingLiU"/>
          <w:color w:val="3E3E3E"/>
          <w:spacing w:val="9"/>
          <w:lang w:val="zh-CN" w:eastAsia="zh-CN"/>
        </w:rPr>
        <w:t>作为胶质母细胞瘤发展的潜在生物标志物</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（王等，</w:t>
      </w:r>
      <w:r>
        <w:rPr>
          <w:rStyle w:val="any"/>
          <w:rFonts w:ascii="Times New Roman" w:eastAsia="Times New Roman" w:hAnsi="Times New Roman" w:cs="Times New Roman"/>
          <w:color w:val="3E3E3E"/>
          <w:spacing w:val="9"/>
          <w:lang w:val="zh-CN" w:eastAsia="zh-CN"/>
        </w:rPr>
        <w:t xml:space="preserve">2021 </w:t>
      </w:r>
      <w:r>
        <w:rPr>
          <w:rStyle w:val="any"/>
          <w:rFonts w:ascii="PMingLiU" w:eastAsia="PMingLiU" w:hAnsi="PMingLiU" w:cs="PMingLiU"/>
          <w:color w:val="3E3E3E"/>
          <w:spacing w:val="9"/>
          <w:lang w:val="zh-CN" w:eastAsia="zh-CN"/>
        </w:rPr>
        <w:t>年）。</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195072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27700" name=""/>
                    <pic:cNvPicPr>
                      <a:picLocks noChangeAspect="1"/>
                    </pic:cNvPicPr>
                  </pic:nvPicPr>
                  <pic:blipFill>
                    <a:blip xmlns:r="http://schemas.openxmlformats.org/officeDocument/2006/relationships" r:embed="rId7"/>
                    <a:stretch>
                      <a:fillRect/>
                    </a:stretch>
                  </pic:blipFill>
                  <pic:spPr>
                    <a:xfrm>
                      <a:off x="0" y="0"/>
                      <a:ext cx="5486400" cy="195072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Loading bands are surprisingly similar. Here with one flipped horizontally and rescaled:</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加载带惊人地相似。这里有一个水平翻转并重新缩放的：</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157941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78341" name=""/>
                    <pic:cNvPicPr>
                      <a:picLocks noChangeAspect="1"/>
                    </pic:cNvPicPr>
                  </pic:nvPicPr>
                  <pic:blipFill>
                    <a:blip xmlns:r="http://schemas.openxmlformats.org/officeDocument/2006/relationships" r:embed="rId8"/>
                    <a:stretch>
                      <a:fillRect/>
                    </a:stretch>
                  </pic:blipFill>
                  <pic:spPr>
                    <a:xfrm>
                      <a:off x="0" y="0"/>
                      <a:ext cx="5486400" cy="1579418"/>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#2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rPr>
        <w:t>comment accepted January 2023</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2023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1 </w:t>
      </w:r>
      <w:r>
        <w:rPr>
          <w:rStyle w:val="any"/>
          <w:rFonts w:ascii="PMingLiU" w:eastAsia="PMingLiU" w:hAnsi="PMingLiU" w:cs="PMingLiU"/>
          <w:color w:val="3E3E3E"/>
          <w:spacing w:val="9"/>
          <w:lang w:val="zh-CN" w:eastAsia="zh-CN"/>
        </w:rPr>
        <w:t>月</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Fig 2B. Flipped horizontally...</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2B. </w:t>
      </w:r>
      <w:r>
        <w:rPr>
          <w:rStyle w:val="any"/>
          <w:rFonts w:ascii="PMingLiU" w:eastAsia="PMingLiU" w:hAnsi="PMingLiU" w:cs="PMingLiU"/>
          <w:color w:val="3E3E3E"/>
          <w:spacing w:val="9"/>
          <w:lang w:val="zh-CN" w:eastAsia="zh-CN"/>
        </w:rPr>
        <w:t>水平翻转</w:t>
      </w:r>
      <w:r>
        <w:rPr>
          <w:rStyle w:val="any"/>
          <w:rFonts w:ascii="Times New Roman" w:eastAsia="Times New Roman" w:hAnsi="Times New Roman" w:cs="Times New Roman"/>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07296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06359" name=""/>
                    <pic:cNvPicPr>
                      <a:picLocks noChangeAspect="1"/>
                    </pic:cNvPicPr>
                  </pic:nvPicPr>
                  <pic:blipFill>
                    <a:blip xmlns:r="http://schemas.openxmlformats.org/officeDocument/2006/relationships" r:embed="rId9"/>
                    <a:stretch>
                      <a:fillRect/>
                    </a:stretch>
                  </pic:blipFill>
                  <pic:spPr>
                    <a:xfrm>
                      <a:off x="0" y="0"/>
                      <a:ext cx="5486400" cy="3072964"/>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...For comparison with</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与</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进行比较</w:t>
      </w:r>
    </w:p>
    <w:p>
      <w:pPr>
        <w:pStyle w:val="anyParagraph"/>
        <w:numPr>
          <w:ilvl w:val="0"/>
          <w:numId w:val="2"/>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[left]</w:t>
      </w:r>
    </w:p>
    <w:p>
      <w:pPr>
        <w:shd w:val="clear" w:color="auto" w:fill="FFFFFF"/>
        <w:spacing w:before="0" w:after="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2C from "NCTD elicits proapoptotic and antiglycolytic effects on colorectal cancer cells via modulation of Fam46c expression and inhibition of ERK1/2 signaling" (</w:t>
      </w:r>
      <w:r>
        <w:rPr>
          <w:rStyle w:val="any"/>
          <w:rFonts w:ascii="Times New Roman" w:eastAsia="Times New Roman" w:hAnsi="Times New Roman" w:cs="Times New Roman"/>
          <w:color w:val="3E3E3E"/>
          <w:spacing w:val="9"/>
        </w:rPr>
        <w:t>Zhang et al 2020</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左</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2C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 xml:space="preserve">“NCTD </w:t>
      </w:r>
      <w:r>
        <w:rPr>
          <w:rStyle w:val="any"/>
          <w:rFonts w:ascii="PMingLiU" w:eastAsia="PMingLiU" w:hAnsi="PMingLiU" w:cs="PMingLiU"/>
          <w:color w:val="3E3E3E"/>
          <w:spacing w:val="9"/>
          <w:lang w:val="zh-CN" w:eastAsia="zh-CN"/>
        </w:rPr>
        <w:t>通过调节</w:t>
      </w:r>
      <w:r>
        <w:rPr>
          <w:rStyle w:val="any"/>
          <w:rFonts w:ascii="Times New Roman" w:eastAsia="Times New Roman" w:hAnsi="Times New Roman" w:cs="Times New Roman"/>
          <w:color w:val="3E3E3E"/>
          <w:spacing w:val="9"/>
          <w:lang w:val="zh-CN" w:eastAsia="zh-CN"/>
        </w:rPr>
        <w:t xml:space="preserve"> Fam46c </w:t>
      </w:r>
      <w:r>
        <w:rPr>
          <w:rStyle w:val="any"/>
          <w:rFonts w:ascii="PMingLiU" w:eastAsia="PMingLiU" w:hAnsi="PMingLiU" w:cs="PMingLiU"/>
          <w:color w:val="3E3E3E"/>
          <w:spacing w:val="9"/>
          <w:lang w:val="zh-CN" w:eastAsia="zh-CN"/>
        </w:rPr>
        <w:t>表达和抑制</w:t>
      </w:r>
      <w:r>
        <w:rPr>
          <w:rStyle w:val="any"/>
          <w:rFonts w:ascii="Times New Roman" w:eastAsia="Times New Roman" w:hAnsi="Times New Roman" w:cs="Times New Roman"/>
          <w:color w:val="3E3E3E"/>
          <w:spacing w:val="9"/>
          <w:lang w:val="zh-CN" w:eastAsia="zh-CN"/>
        </w:rPr>
        <w:t xml:space="preserve"> ERK1/2 </w:t>
      </w:r>
      <w:r>
        <w:rPr>
          <w:rStyle w:val="any"/>
          <w:rFonts w:ascii="PMingLiU" w:eastAsia="PMingLiU" w:hAnsi="PMingLiU" w:cs="PMingLiU"/>
          <w:color w:val="3E3E3E"/>
          <w:spacing w:val="9"/>
          <w:lang w:val="zh-CN" w:eastAsia="zh-CN"/>
        </w:rPr>
        <w:t>信号通路诱导结直肠癌细胞的促凋亡和抗糖酵解效应</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（张等，</w:t>
      </w:r>
      <w:r>
        <w:rPr>
          <w:rStyle w:val="any"/>
          <w:rFonts w:ascii="Times New Roman" w:eastAsia="Times New Roman" w:hAnsi="Times New Roman" w:cs="Times New Roman"/>
          <w:color w:val="3E3E3E"/>
          <w:spacing w:val="9"/>
          <w:lang w:val="zh-CN" w:eastAsia="zh-CN"/>
        </w:rPr>
        <w:t xml:space="preserve">2020 </w:t>
      </w:r>
      <w:r>
        <w:rPr>
          <w:rStyle w:val="any"/>
          <w:rFonts w:ascii="PMingLiU" w:eastAsia="PMingLiU" w:hAnsi="PMingLiU" w:cs="PMingLiU"/>
          <w:color w:val="3E3E3E"/>
          <w:spacing w:val="9"/>
          <w:lang w:val="zh-CN" w:eastAsia="zh-CN"/>
        </w:rPr>
        <w:t>年）。</w:t>
      </w:r>
    </w:p>
    <w:p>
      <w:pPr>
        <w:pStyle w:val="anyParagraph"/>
        <w:numPr>
          <w:ilvl w:val="0"/>
          <w:numId w:val="2"/>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[right]</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2A from "Salidroside ameliorated hypoxia‐induced tumorigenesis of BxPC‐3 cells via downregulating hypoxia‐inducible factor (HIF)‐1α and LOXL2" (</w:t>
      </w:r>
      <w:r>
        <w:rPr>
          <w:rStyle w:val="any"/>
          <w:rFonts w:ascii="Times New Roman" w:eastAsia="Times New Roman" w:hAnsi="Times New Roman" w:cs="Times New Roman"/>
          <w:color w:val="3E3E3E"/>
          <w:spacing w:val="9"/>
        </w:rPr>
        <w:t>Chen et al 2020</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右</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2A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淫羊藿苷通过下调缺氧诱导因子（</w:t>
      </w:r>
      <w:r>
        <w:rPr>
          <w:rStyle w:val="any"/>
          <w:rFonts w:ascii="Times New Roman" w:eastAsia="Times New Roman" w:hAnsi="Times New Roman" w:cs="Times New Roman"/>
          <w:color w:val="3E3E3E"/>
          <w:spacing w:val="9"/>
          <w:lang w:val="zh-CN" w:eastAsia="zh-CN"/>
        </w:rPr>
        <w:t>HIF</w:t>
      </w:r>
      <w:r>
        <w:rPr>
          <w:rStyle w:val="any"/>
          <w:rFonts w:ascii="PMingLiU" w:eastAsia="PMingLiU" w:hAnsi="PMingLiU" w:cs="PMingLiU"/>
          <w:color w:val="3E3E3E"/>
          <w:spacing w:val="9"/>
          <w:lang w:val="zh-CN" w:eastAsia="zh-CN"/>
        </w:rPr>
        <w:t>）</w:t>
      </w:r>
      <w:r>
        <w:rPr>
          <w:rStyle w:val="any"/>
          <w:rFonts w:ascii="Times New Roman" w:eastAsia="Times New Roman" w:hAnsi="Times New Roman" w:cs="Times New Roman"/>
          <w:color w:val="3E3E3E"/>
          <w:spacing w:val="9"/>
          <w:lang w:val="zh-CN" w:eastAsia="zh-CN"/>
        </w:rPr>
        <w:t>-1α</w:t>
      </w:r>
      <w:r>
        <w:rPr>
          <w:rStyle w:val="any"/>
          <w:rFonts w:ascii="PMingLiU" w:eastAsia="PMingLiU" w:hAnsi="PMingLiU" w:cs="PMingLiU"/>
          <w:color w:val="3E3E3E"/>
          <w:spacing w:val="9"/>
          <w:lang w:val="zh-CN" w:eastAsia="zh-CN"/>
        </w:rPr>
        <w:t>和</w:t>
      </w:r>
      <w:r>
        <w:rPr>
          <w:rStyle w:val="any"/>
          <w:rFonts w:ascii="Times New Roman" w:eastAsia="Times New Roman" w:hAnsi="Times New Roman" w:cs="Times New Roman"/>
          <w:color w:val="3E3E3E"/>
          <w:spacing w:val="9"/>
          <w:lang w:val="zh-CN" w:eastAsia="zh-CN"/>
        </w:rPr>
        <w:t xml:space="preserve"> LOXL2 </w:t>
      </w:r>
      <w:r>
        <w:rPr>
          <w:rStyle w:val="any"/>
          <w:rFonts w:ascii="PMingLiU" w:eastAsia="PMingLiU" w:hAnsi="PMingLiU" w:cs="PMingLiU"/>
          <w:color w:val="3E3E3E"/>
          <w:spacing w:val="9"/>
          <w:lang w:val="zh-CN" w:eastAsia="zh-CN"/>
        </w:rPr>
        <w:t>改善</w:t>
      </w:r>
      <w:r>
        <w:rPr>
          <w:rStyle w:val="any"/>
          <w:rFonts w:ascii="Times New Roman" w:eastAsia="Times New Roman" w:hAnsi="Times New Roman" w:cs="Times New Roman"/>
          <w:color w:val="3E3E3E"/>
          <w:spacing w:val="9"/>
          <w:lang w:val="zh-CN" w:eastAsia="zh-CN"/>
        </w:rPr>
        <w:t xml:space="preserve"> BxPC-3 </w:t>
      </w:r>
      <w:r>
        <w:rPr>
          <w:rStyle w:val="any"/>
          <w:rFonts w:ascii="PMingLiU" w:eastAsia="PMingLiU" w:hAnsi="PMingLiU" w:cs="PMingLiU"/>
          <w:color w:val="3E3E3E"/>
          <w:spacing w:val="9"/>
          <w:lang w:val="zh-CN" w:eastAsia="zh-CN"/>
        </w:rPr>
        <w:t>细胞的缺氧诱导肿瘤发生</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陈等，</w:t>
      </w:r>
      <w:r>
        <w:rPr>
          <w:rStyle w:val="any"/>
          <w:rFonts w:ascii="Times New Roman" w:eastAsia="Times New Roman" w:hAnsi="Times New Roman" w:cs="Times New Roman"/>
          <w:color w:val="3E3E3E"/>
          <w:spacing w:val="9"/>
          <w:lang w:val="zh-CN" w:eastAsia="zh-CN"/>
        </w:rPr>
        <w:t>2020)</w:t>
      </w:r>
      <w:r>
        <w:rPr>
          <w:rStyle w:val="any"/>
          <w:rFonts w:ascii="PMingLiU" w:eastAsia="PMingLiU" w:hAnsi="PMingLiU" w:cs="PMingLiU"/>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205099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9995" name=""/>
                    <pic:cNvPicPr>
                      <a:picLocks noChangeAspect="1"/>
                    </pic:cNvPicPr>
                  </pic:nvPicPr>
                  <pic:blipFill>
                    <a:blip xmlns:r="http://schemas.openxmlformats.org/officeDocument/2006/relationships" r:embed="rId10"/>
                    <a:stretch>
                      <a:fillRect/>
                    </a:stretch>
                  </pic:blipFill>
                  <pic:spPr>
                    <a:xfrm>
                      <a:off x="0" y="0"/>
                      <a:ext cx="5486400" cy="2050991"/>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#3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comment accepted March 2025</w:t>
      </w:r>
      <w:r>
        <w:rPr>
          <w:rStyle w:val="any"/>
          <w:rFonts w:ascii="Times New Roman" w:eastAsia="Times New Roman" w:hAnsi="Times New Roman" w:cs="Times New Roman"/>
          <w:color w:val="3E3E3E"/>
          <w:spacing w:val="9"/>
          <w:lang w:val="zh-CN" w:eastAsia="zh-CN"/>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2025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3 </w:t>
      </w:r>
      <w:r>
        <w:rPr>
          <w:rStyle w:val="any"/>
          <w:rFonts w:ascii="PMingLiU" w:eastAsia="PMingLiU" w:hAnsi="PMingLiU" w:cs="PMingLiU"/>
          <w:color w:val="3E3E3E"/>
          <w:spacing w:val="9"/>
          <w:lang w:val="zh-CN" w:eastAsia="zh-CN"/>
        </w:rPr>
        <w:t>月</w:t>
      </w:r>
    </w:p>
    <w:p>
      <w:pPr>
        <w:pStyle w:val="anyParagraph"/>
        <w:numPr>
          <w:ilvl w:val="0"/>
          <w:numId w:val="3"/>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[left]</w:t>
      </w:r>
    </w:p>
    <w:p>
      <w:pPr>
        <w:shd w:val="clear" w:color="auto" w:fill="FFFFFF"/>
        <w:spacing w:before="0" w:after="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4A.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左</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4A</w:t>
      </w:r>
      <w:r>
        <w:rPr>
          <w:rStyle w:val="any"/>
          <w:rFonts w:ascii="PMingLiU" w:eastAsia="PMingLiU" w:hAnsi="PMingLiU" w:cs="PMingLiU"/>
          <w:color w:val="3E3E3E"/>
          <w:spacing w:val="9"/>
          <w:lang w:val="zh-CN" w:eastAsia="zh-CN"/>
        </w:rPr>
        <w:t>。</w:t>
      </w:r>
    </w:p>
    <w:p>
      <w:pPr>
        <w:pStyle w:val="anyParagraph"/>
        <w:numPr>
          <w:ilvl w:val="0"/>
          <w:numId w:val="3"/>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i/>
          <w:iCs/>
          <w:color w:val="3E3E3E"/>
          <w:spacing w:val="9"/>
        </w:rPr>
        <w:t>[right]</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 Fig 4A from "TRIM24 siRNA induced cell apoptosis and reduced cell viability in human nasopharyngeal carcinoma cells" (</w:t>
      </w:r>
      <w:r>
        <w:rPr>
          <w:rStyle w:val="any"/>
          <w:rFonts w:ascii="Times New Roman" w:eastAsia="Times New Roman" w:hAnsi="Times New Roman" w:cs="Times New Roman"/>
          <w:color w:val="3E3E3E"/>
          <w:spacing w:val="9"/>
        </w:rPr>
        <w:t>Wang et al 2018</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右</w:t>
      </w:r>
      <w:r>
        <w:rPr>
          <w:rStyle w:val="any"/>
          <w:rFonts w:ascii="Times New Roman" w:eastAsia="Times New Roman" w:hAnsi="Times New Roman" w:cs="Times New Roman"/>
          <w:color w:val="3E3E3E"/>
          <w:spacing w:val="9"/>
          <w:lang w:val="zh-CN" w:eastAsia="zh-CN"/>
        </w:rPr>
        <w:t xml:space="preserve">]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4A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 xml:space="preserve">“TRIM24 siRNA </w:t>
      </w:r>
      <w:r>
        <w:rPr>
          <w:rStyle w:val="any"/>
          <w:rFonts w:ascii="PMingLiU" w:eastAsia="PMingLiU" w:hAnsi="PMingLiU" w:cs="PMingLiU"/>
          <w:color w:val="3E3E3E"/>
          <w:spacing w:val="9"/>
          <w:lang w:val="zh-CN" w:eastAsia="zh-CN"/>
        </w:rPr>
        <w:t>诱导人鼻咽癌细胞的细胞凋亡并降低细胞活力</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（王等，</w:t>
      </w:r>
      <w:r>
        <w:rPr>
          <w:rStyle w:val="any"/>
          <w:rFonts w:ascii="Times New Roman" w:eastAsia="Times New Roman" w:hAnsi="Times New Roman" w:cs="Times New Roman"/>
          <w:color w:val="3E3E3E"/>
          <w:spacing w:val="9"/>
          <w:lang w:val="zh-CN" w:eastAsia="zh-CN"/>
        </w:rPr>
        <w:t>2018</w:t>
      </w:r>
      <w:r>
        <w:rPr>
          <w:rStyle w:val="any"/>
          <w:rFonts w:ascii="PMingLiU" w:eastAsia="PMingLiU" w:hAnsi="PMingLiU" w:cs="PMingLiU"/>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230124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4431" name=""/>
                    <pic:cNvPicPr>
                      <a:picLocks noChangeAspect="1"/>
                    </pic:cNvPicPr>
                  </pic:nvPicPr>
                  <pic:blipFill>
                    <a:blip xmlns:r="http://schemas.openxmlformats.org/officeDocument/2006/relationships" r:embed="rId11"/>
                    <a:stretch>
                      <a:fillRect/>
                    </a:stretch>
                  </pic:blipFill>
                  <pic:spPr>
                    <a:xfrm>
                      <a:off x="0" y="0"/>
                      <a:ext cx="5486400" cy="230124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#4 </w:t>
      </w:r>
      <w:r>
        <w:rPr>
          <w:rStyle w:val="any"/>
          <w:rFonts w:ascii="Times New Roman" w:eastAsia="Times New Roman" w:hAnsi="Times New Roman" w:cs="Times New Roman"/>
          <w:b/>
          <w:bCs/>
          <w:i/>
          <w:iCs/>
          <w:color w:val="3E3E3E"/>
          <w:spacing w:val="9"/>
        </w:rPr>
        <w:t>Hoya camphorifolia</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lang w:val="zh-CN" w:eastAsia="zh-CN"/>
        </w:rPr>
        <w:t> </w:t>
      </w:r>
      <w:r>
        <w:rPr>
          <w:rStyle w:val="any"/>
          <w:rFonts w:ascii="Times New Roman" w:eastAsia="Times New Roman" w:hAnsi="Times New Roman" w:cs="Times New Roman"/>
          <w:color w:val="3E3E3E"/>
          <w:spacing w:val="9"/>
        </w:rPr>
        <w:t>comment accepted March 2025</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评论接受于</w:t>
      </w:r>
      <w:r>
        <w:rPr>
          <w:rStyle w:val="any"/>
          <w:rFonts w:ascii="Times New Roman" w:eastAsia="Times New Roman" w:hAnsi="Times New Roman" w:cs="Times New Roman"/>
          <w:color w:val="3E3E3E"/>
          <w:spacing w:val="9"/>
          <w:lang w:val="zh-CN" w:eastAsia="zh-CN"/>
        </w:rPr>
        <w:t xml:space="preserve"> 2025 </w:t>
      </w:r>
      <w:r>
        <w:rPr>
          <w:rStyle w:val="any"/>
          <w:rFonts w:ascii="PMingLiU" w:eastAsia="PMingLiU" w:hAnsi="PMingLiU" w:cs="PMingLiU"/>
          <w:color w:val="3E3E3E"/>
          <w:spacing w:val="9"/>
          <w:lang w:val="zh-CN" w:eastAsia="zh-CN"/>
        </w:rPr>
        <w:t>年</w:t>
      </w:r>
      <w:r>
        <w:rPr>
          <w:rStyle w:val="any"/>
          <w:rFonts w:ascii="Times New Roman" w:eastAsia="Times New Roman" w:hAnsi="Times New Roman" w:cs="Times New Roman"/>
          <w:color w:val="3E3E3E"/>
          <w:spacing w:val="9"/>
          <w:lang w:val="zh-CN" w:eastAsia="zh-CN"/>
        </w:rPr>
        <w:t xml:space="preserve"> 3 </w:t>
      </w:r>
      <w:r>
        <w:rPr>
          <w:rStyle w:val="any"/>
          <w:rFonts w:ascii="PMingLiU" w:eastAsia="PMingLiU" w:hAnsi="PMingLiU" w:cs="PMingLiU"/>
          <w:color w:val="3E3E3E"/>
          <w:spacing w:val="9"/>
          <w:lang w:val="zh-CN" w:eastAsia="zh-CN"/>
        </w:rPr>
        <w:t>月</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#2</w:t>
      </w:r>
      <w:r>
        <w:rPr>
          <w:rStyle w:val="any"/>
          <w:rFonts w:ascii="Times New Roman" w:eastAsia="Times New Roman" w:hAnsi="Times New Roman" w:cs="Times New Roman"/>
          <w:color w:val="3E3E3E"/>
          <w:spacing w:val="9"/>
        </w:rPr>
        <w:t> Another sighting! Left to right:</w:t>
      </w:r>
      <w:r>
        <w:rPr>
          <w:rStyle w:val="any"/>
          <w:rFonts w:ascii="Times New Roman" w:eastAsia="Times New Roman" w:hAnsi="Times New Roman" w:cs="Times New Roman"/>
          <w:color w:val="3E3E3E"/>
          <w:spacing w:val="9"/>
        </w:rPr>
        <w:br/>
      </w:r>
      <w:r>
        <w:rPr>
          <w:rStyle w:val="any"/>
          <w:rFonts w:ascii="Times New Roman" w:eastAsia="Times New Roman" w:hAnsi="Times New Roman" w:cs="Times New Roman"/>
          <w:color w:val="3E3E3E"/>
          <w:spacing w:val="9"/>
          <w:lang w:val="zh-CN" w:eastAsia="zh-CN"/>
        </w:rPr>
        <w:t xml:space="preserve">#2 </w:t>
      </w:r>
      <w:r>
        <w:rPr>
          <w:rStyle w:val="any"/>
          <w:rFonts w:ascii="PMingLiU" w:eastAsia="PMingLiU" w:hAnsi="PMingLiU" w:cs="PMingLiU"/>
          <w:color w:val="3E3E3E"/>
          <w:spacing w:val="9"/>
          <w:lang w:val="zh-CN" w:eastAsia="zh-CN"/>
        </w:rPr>
        <w:t>另一次目击！从左到右：</w:t>
      </w:r>
    </w:p>
    <w:p>
      <w:pPr>
        <w:numPr>
          <w:ilvl w:val="0"/>
          <w:numId w:val="4"/>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Fig 3D from "TNF-α induces apoptosis of human nucleus pulposus cells via activating the TRIM14/NF-κB signalling pathway" (</w:t>
      </w:r>
      <w:r>
        <w:rPr>
          <w:rStyle w:val="any"/>
          <w:rFonts w:ascii="Times New Roman" w:eastAsia="Times New Roman" w:hAnsi="Times New Roman" w:cs="Times New Roman"/>
          <w:color w:val="3E3E3E"/>
          <w:spacing w:val="9"/>
        </w:rPr>
        <w:t>Zhu et al 2019</w:t>
      </w: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3D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“TNF-α</w:t>
      </w:r>
      <w:r>
        <w:rPr>
          <w:rStyle w:val="any"/>
          <w:rFonts w:ascii="PMingLiU" w:eastAsia="PMingLiU" w:hAnsi="PMingLiU" w:cs="PMingLiU"/>
          <w:color w:val="3E3E3E"/>
          <w:spacing w:val="9"/>
          <w:lang w:val="zh-CN" w:eastAsia="zh-CN"/>
        </w:rPr>
        <w:t>通过激活</w:t>
      </w:r>
      <w:r>
        <w:rPr>
          <w:rStyle w:val="any"/>
          <w:rFonts w:ascii="Times New Roman" w:eastAsia="Times New Roman" w:hAnsi="Times New Roman" w:cs="Times New Roman"/>
          <w:color w:val="3E3E3E"/>
          <w:spacing w:val="9"/>
          <w:lang w:val="zh-CN" w:eastAsia="zh-CN"/>
        </w:rPr>
        <w:t xml:space="preserve"> TRIM14/NF-κB </w:t>
      </w:r>
      <w:r>
        <w:rPr>
          <w:rStyle w:val="any"/>
          <w:rFonts w:ascii="PMingLiU" w:eastAsia="PMingLiU" w:hAnsi="PMingLiU" w:cs="PMingLiU"/>
          <w:color w:val="3E3E3E"/>
          <w:spacing w:val="9"/>
          <w:lang w:val="zh-CN" w:eastAsia="zh-CN"/>
        </w:rPr>
        <w:t>信号通路诱导人椎间盘细胞凋亡</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（朱等，</w:t>
      </w:r>
      <w:r>
        <w:rPr>
          <w:rStyle w:val="any"/>
          <w:rFonts w:ascii="Times New Roman" w:eastAsia="Times New Roman" w:hAnsi="Times New Roman" w:cs="Times New Roman"/>
          <w:color w:val="3E3E3E"/>
          <w:spacing w:val="9"/>
          <w:lang w:val="zh-CN" w:eastAsia="zh-CN"/>
        </w:rPr>
        <w:t>2019</w:t>
      </w:r>
      <w:r>
        <w:rPr>
          <w:rStyle w:val="any"/>
          <w:rFonts w:ascii="PMingLiU" w:eastAsia="PMingLiU" w:hAnsi="PMingLiU" w:cs="PMingLiU"/>
          <w:color w:val="3E3E3E"/>
          <w:spacing w:val="9"/>
          <w:lang w:val="zh-CN" w:eastAsia="zh-CN"/>
        </w:rPr>
        <w:t>）。</w:t>
      </w:r>
    </w:p>
    <w:p>
      <w:pPr>
        <w:numPr>
          <w:ilvl w:val="0"/>
          <w:numId w:val="4"/>
        </w:numPr>
        <w:shd w:val="clear" w:color="auto" w:fill="FFFFFF"/>
        <w:spacing w:before="0" w:after="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Fig 2A from "Salidroside ameliorated hypoxia-induced tumorigenesis of BxPC-3 cells via downregulating hypoxia-inducible factor (HIF)-1α and LOXL2" (</w:t>
      </w:r>
      <w:r>
        <w:rPr>
          <w:rStyle w:val="any"/>
          <w:rFonts w:ascii="Times New Roman" w:eastAsia="Times New Roman" w:hAnsi="Times New Roman" w:cs="Times New Roman"/>
          <w:color w:val="3E3E3E"/>
          <w:spacing w:val="9"/>
        </w:rPr>
        <w:t>Chen et al 2020</w:t>
      </w:r>
      <w:r>
        <w:rPr>
          <w:rStyle w:val="any"/>
          <w:rFonts w:ascii="Times New Roman" w:eastAsia="Times New Roman" w:hAnsi="Times New Roman" w:cs="Times New Roman"/>
          <w:color w:val="3E3E3E"/>
          <w:spacing w:val="9"/>
        </w:rPr>
        <w:t>) (flipped horizontally).</w:t>
      </w:r>
      <w:r>
        <w:rPr>
          <w:rStyle w:val="any"/>
          <w:rFonts w:ascii="Times New Roman" w:eastAsia="Times New Roman" w:hAnsi="Times New Roman" w:cs="Times New Roman"/>
          <w:color w:val="3E3E3E"/>
          <w:spacing w:val="9"/>
        </w:rPr>
        <w:br/>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2A </w:t>
      </w:r>
      <w:r>
        <w:rPr>
          <w:rStyle w:val="any"/>
          <w:rFonts w:ascii="PMingLiU" w:eastAsia="PMingLiU" w:hAnsi="PMingLiU" w:cs="PMingLiU"/>
          <w:color w:val="3E3E3E"/>
          <w:spacing w:val="9"/>
          <w:lang w:val="zh-CN" w:eastAsia="zh-CN"/>
        </w:rPr>
        <w:t>来自</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淫羊藿苷通过下调缺氧诱导因子（</w:t>
      </w:r>
      <w:r>
        <w:rPr>
          <w:rStyle w:val="any"/>
          <w:rFonts w:ascii="Times New Roman" w:eastAsia="Times New Roman" w:hAnsi="Times New Roman" w:cs="Times New Roman"/>
          <w:color w:val="3E3E3E"/>
          <w:spacing w:val="9"/>
          <w:lang w:val="zh-CN" w:eastAsia="zh-CN"/>
        </w:rPr>
        <w:t>HIF</w:t>
      </w:r>
      <w:r>
        <w:rPr>
          <w:rStyle w:val="any"/>
          <w:rFonts w:ascii="PMingLiU" w:eastAsia="PMingLiU" w:hAnsi="PMingLiU" w:cs="PMingLiU"/>
          <w:color w:val="3E3E3E"/>
          <w:spacing w:val="9"/>
          <w:lang w:val="zh-CN" w:eastAsia="zh-CN"/>
        </w:rPr>
        <w:t>）</w:t>
      </w:r>
      <w:r>
        <w:rPr>
          <w:rStyle w:val="any"/>
          <w:rFonts w:ascii="Times New Roman" w:eastAsia="Times New Roman" w:hAnsi="Times New Roman" w:cs="Times New Roman"/>
          <w:color w:val="3E3E3E"/>
          <w:spacing w:val="9"/>
          <w:lang w:val="zh-CN" w:eastAsia="zh-CN"/>
        </w:rPr>
        <w:t>-1α</w:t>
      </w:r>
      <w:r>
        <w:rPr>
          <w:rStyle w:val="any"/>
          <w:rFonts w:ascii="PMingLiU" w:eastAsia="PMingLiU" w:hAnsi="PMingLiU" w:cs="PMingLiU"/>
          <w:color w:val="3E3E3E"/>
          <w:spacing w:val="9"/>
          <w:lang w:val="zh-CN" w:eastAsia="zh-CN"/>
        </w:rPr>
        <w:t>和</w:t>
      </w:r>
      <w:r>
        <w:rPr>
          <w:rStyle w:val="any"/>
          <w:rFonts w:ascii="Times New Roman" w:eastAsia="Times New Roman" w:hAnsi="Times New Roman" w:cs="Times New Roman"/>
          <w:color w:val="3E3E3E"/>
          <w:spacing w:val="9"/>
          <w:lang w:val="zh-CN" w:eastAsia="zh-CN"/>
        </w:rPr>
        <w:t xml:space="preserve"> LOXL2 </w:t>
      </w:r>
      <w:r>
        <w:rPr>
          <w:rStyle w:val="any"/>
          <w:rFonts w:ascii="PMingLiU" w:eastAsia="PMingLiU" w:hAnsi="PMingLiU" w:cs="PMingLiU"/>
          <w:color w:val="3E3E3E"/>
          <w:spacing w:val="9"/>
          <w:lang w:val="zh-CN" w:eastAsia="zh-CN"/>
        </w:rPr>
        <w:t>改善</w:t>
      </w:r>
      <w:r>
        <w:rPr>
          <w:rStyle w:val="any"/>
          <w:rFonts w:ascii="Times New Roman" w:eastAsia="Times New Roman" w:hAnsi="Times New Roman" w:cs="Times New Roman"/>
          <w:color w:val="3E3E3E"/>
          <w:spacing w:val="9"/>
          <w:lang w:val="zh-CN" w:eastAsia="zh-CN"/>
        </w:rPr>
        <w:t xml:space="preserve"> BxPC-3 </w:t>
      </w:r>
      <w:r>
        <w:rPr>
          <w:rStyle w:val="any"/>
          <w:rFonts w:ascii="PMingLiU" w:eastAsia="PMingLiU" w:hAnsi="PMingLiU" w:cs="PMingLiU"/>
          <w:color w:val="3E3E3E"/>
          <w:spacing w:val="9"/>
          <w:lang w:val="zh-CN" w:eastAsia="zh-CN"/>
        </w:rPr>
        <w:t>细胞的缺氧诱导肿瘤发生</w:t>
      </w:r>
      <w:r>
        <w:rPr>
          <w:rStyle w:val="any"/>
          <w:rFonts w:ascii="Times New Roman" w:eastAsia="Times New Roman" w:hAnsi="Times New Roman" w:cs="Times New Roman"/>
          <w:color w:val="3E3E3E"/>
          <w:spacing w:val="9"/>
          <w:lang w:val="zh-CN" w:eastAsia="zh-CN"/>
        </w:rPr>
        <w:t>”</w:t>
      </w:r>
      <w:r>
        <w:rPr>
          <w:rStyle w:val="any"/>
          <w:rFonts w:ascii="PMingLiU" w:eastAsia="PMingLiU" w:hAnsi="PMingLiU" w:cs="PMingLiU"/>
          <w:color w:val="3E3E3E"/>
          <w:spacing w:val="9"/>
          <w:lang w:val="zh-CN" w:eastAsia="zh-CN"/>
        </w:rPr>
        <w:t>（陈等，</w:t>
      </w:r>
      <w:r>
        <w:rPr>
          <w:rStyle w:val="any"/>
          <w:rFonts w:ascii="Times New Roman" w:eastAsia="Times New Roman" w:hAnsi="Times New Roman" w:cs="Times New Roman"/>
          <w:color w:val="3E3E3E"/>
          <w:spacing w:val="9"/>
          <w:lang w:val="zh-CN" w:eastAsia="zh-CN"/>
        </w:rPr>
        <w:t xml:space="preserve">2020 </w:t>
      </w:r>
      <w:r>
        <w:rPr>
          <w:rStyle w:val="any"/>
          <w:rFonts w:ascii="PMingLiU" w:eastAsia="PMingLiU" w:hAnsi="PMingLiU" w:cs="PMingLiU"/>
          <w:color w:val="3E3E3E"/>
          <w:spacing w:val="9"/>
          <w:lang w:val="zh-CN" w:eastAsia="zh-CN"/>
        </w:rPr>
        <w:t>年）（水平翻转）。</w:t>
      </w:r>
    </w:p>
    <w:p>
      <w:pPr>
        <w:pStyle w:val="anyParagraph"/>
        <w:numPr>
          <w:ilvl w:val="0"/>
          <w:numId w:val="4"/>
        </w:numPr>
        <w:shd w:val="clear" w:color="auto" w:fill="FFFFFF"/>
        <w:spacing w:before="0" w:after="240" w:line="384" w:lineRule="atLeast"/>
        <w:ind w:left="930" w:right="450" w:hanging="21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rPr>
        <w:t>Fig 2B</w:t>
      </w:r>
    </w:p>
    <w:p>
      <w:pPr>
        <w:shd w:val="clear" w:color="auto" w:fill="FFFFFF"/>
        <w:spacing w:before="0" w:after="240" w:line="384" w:lineRule="atLeast"/>
        <w:ind w:left="930" w:right="450"/>
        <w:jc w:val="left"/>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t>.</w:t>
      </w:r>
      <w:r>
        <w:rPr>
          <w:rStyle w:val="any"/>
          <w:rFonts w:ascii="Times New Roman" w:eastAsia="Times New Roman" w:hAnsi="Times New Roman" w:cs="Times New Roman"/>
          <w:color w:val="3E3E3E"/>
          <w:spacing w:val="9"/>
          <w:lang w:val="zh-CN" w:eastAsia="zh-CN"/>
        </w:rPr>
        <w:t>  </w:t>
      </w:r>
      <w:r>
        <w:rPr>
          <w:rStyle w:val="any"/>
          <w:rFonts w:ascii="PMingLiU" w:eastAsia="PMingLiU" w:hAnsi="PMingLiU" w:cs="PMingLiU"/>
          <w:color w:val="3E3E3E"/>
          <w:spacing w:val="9"/>
          <w:lang w:val="zh-CN" w:eastAsia="zh-CN"/>
        </w:rPr>
        <w:t>图</w:t>
      </w:r>
      <w:r>
        <w:rPr>
          <w:rStyle w:val="any"/>
          <w:rFonts w:ascii="Times New Roman" w:eastAsia="Times New Roman" w:hAnsi="Times New Roman" w:cs="Times New Roman"/>
          <w:color w:val="3E3E3E"/>
          <w:spacing w:val="9"/>
          <w:lang w:val="zh-CN" w:eastAsia="zh-CN"/>
        </w:rPr>
        <w:t xml:space="preserve"> 2B</w:t>
      </w:r>
      <w:r>
        <w:rPr>
          <w:rStyle w:val="any"/>
          <w:rFonts w:ascii="PMingLiU" w:eastAsia="PMingLiU" w:hAnsi="PMingLiU" w:cs="PMingLiU"/>
          <w:color w:val="3E3E3E"/>
          <w:spacing w:val="9"/>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24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1869440"/>
            <wp:docPr id="100007"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88958" name=""/>
                    <pic:cNvPicPr>
                      <a:picLocks noChangeAspect="1"/>
                    </pic:cNvPicPr>
                  </pic:nvPicPr>
                  <pic:blipFill>
                    <a:blip xmlns:r="http://schemas.openxmlformats.org/officeDocument/2006/relationships" r:embed="rId12"/>
                    <a:stretch>
                      <a:fillRect/>
                    </a:stretch>
                  </pic:blipFill>
                  <pic:spPr>
                    <a:xfrm>
                      <a:off x="0" y="0"/>
                      <a:ext cx="5486400" cy="1869440"/>
                    </a:xfrm>
                    <a:prstGeom prst="rect">
                      <a:avLst/>
                    </a:prstGeom>
                    <a:ln>
                      <a:noFill/>
                    </a:ln>
                  </pic:spPr>
                </pic:pic>
              </a:graphicData>
            </a:graphic>
          </wp:inline>
        </w:drawing>
      </w: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https://pubmed.ncbi.nlm.nih.gov/31440094/</w:t>
      </w:r>
    </w:p>
    <w:p>
      <w:pPr>
        <w:shd w:val="clear" w:color="auto" w:fill="FFFFFF"/>
        <w:spacing w:before="0" w:line="420" w:lineRule="atLeast"/>
        <w:ind w:left="450" w:right="45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b/>
          <w:bCs/>
          <w:color w:val="3E3E3E"/>
          <w:spacing w:val="9"/>
          <w:sz w:val="18"/>
          <w:szCs w:val="18"/>
        </w:rPr>
        <w:t>https://pubpeer.com/publications/7CE9A79416301547156BCA38940AB1</w:t>
      </w: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pStyle w:val="anyParagraph"/>
        <w:numPr>
          <w:ilvl w:val="0"/>
          <w:numId w:val="5"/>
        </w:numPr>
        <w:shd w:val="clear" w:color="auto" w:fill="FFFFFF"/>
        <w:spacing w:before="150" w:after="0" w:line="390" w:lineRule="atLeast"/>
        <w:ind w:left="840" w:right="465" w:hanging="197"/>
        <w:jc w:val="left"/>
        <w:rPr>
          <w:rStyle w:val="any"/>
          <w:rFonts w:ascii="Times New Roman" w:eastAsia="Times New Roman" w:hAnsi="Times New Roman" w:cs="Times New Roman"/>
          <w:b/>
          <w:bCs/>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本平台对于科研问题的探讨，始终保持严谨、深入、持续、开放和创新的态度。</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所有推文信源，均来源于</w:t>
      </w:r>
      <w:r>
        <w:rPr>
          <w:rStyle w:val="any"/>
          <w:rFonts w:ascii="Consolas" w:eastAsia="Consolas" w:hAnsi="Consolas" w:cs="Consolas"/>
          <w:b/>
          <w:bCs/>
          <w:color w:val="333333"/>
          <w:spacing w:val="9"/>
          <w:sz w:val="21"/>
          <w:szCs w:val="21"/>
        </w:rPr>
        <w:t>pubpeer</w:t>
      </w:r>
      <w:r>
        <w:rPr>
          <w:rStyle w:val="any"/>
          <w:rFonts w:ascii="PMingLiU" w:eastAsia="PMingLiU" w:hAnsi="PMingLiU" w:cs="PMingLiU"/>
          <w:b/>
          <w:bCs/>
          <w:color w:val="333333"/>
          <w:spacing w:val="9"/>
          <w:sz w:val="21"/>
          <w:szCs w:val="21"/>
        </w:rPr>
        <w:t>、</w:t>
      </w:r>
      <w:r>
        <w:rPr>
          <w:rStyle w:val="any"/>
          <w:rFonts w:ascii="Consolas" w:eastAsia="Consolas" w:hAnsi="Consolas" w:cs="Consolas"/>
          <w:b/>
          <w:bCs/>
          <w:color w:val="333333"/>
          <w:spacing w:val="9"/>
          <w:sz w:val="21"/>
          <w:szCs w:val="21"/>
        </w:rPr>
        <w:t>For Better Science</w:t>
      </w:r>
      <w:r>
        <w:rPr>
          <w:rStyle w:val="any"/>
          <w:rFonts w:ascii="PMingLiU" w:eastAsia="PMingLiU" w:hAnsi="PMingLiU" w:cs="PMingLiU"/>
          <w:b/>
          <w:bCs/>
          <w:color w:val="333333"/>
          <w:spacing w:val="9"/>
          <w:sz w:val="21"/>
          <w:szCs w:val="21"/>
        </w:rPr>
        <w:t>等网站公开质疑。</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我们从来没有、也永远不会主动查重论文并去</w:t>
      </w:r>
      <w:r>
        <w:rPr>
          <w:rStyle w:val="any"/>
          <w:rFonts w:ascii="Consolas" w:eastAsia="Consolas" w:hAnsi="Consolas" w:cs="Consolas"/>
          <w:b/>
          <w:bCs/>
          <w:color w:val="333333"/>
          <w:spacing w:val="9"/>
          <w:sz w:val="21"/>
          <w:szCs w:val="21"/>
        </w:rPr>
        <w:t>pubpeer</w:t>
      </w:r>
      <w:r>
        <w:rPr>
          <w:rStyle w:val="any"/>
          <w:rFonts w:ascii="PMingLiU" w:eastAsia="PMingLiU" w:hAnsi="PMingLiU" w:cs="PMingLiU"/>
          <w:b/>
          <w:bCs/>
          <w:color w:val="333333"/>
          <w:spacing w:val="9"/>
          <w:sz w:val="21"/>
          <w:szCs w:val="21"/>
        </w:rPr>
        <w:t>上质疑。</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我们尊重他人的研究成果和贡献，通过交流和合作，共同推动科研领域的进步和</w:t>
      </w:r>
    </w:p>
    <w:p>
      <w:pPr>
        <w:shd w:val="clear" w:color="auto" w:fill="FFFFFF"/>
        <w:spacing w:before="0" w:after="150" w:line="390" w:lineRule="atLeast"/>
        <w:ind w:left="840" w:right="465"/>
        <w:jc w:val="left"/>
        <w:rPr>
          <w:rStyle w:val="any"/>
          <w:rFonts w:ascii="Consolas" w:eastAsia="Consolas" w:hAnsi="Consolas" w:cs="Consolas"/>
          <w:b/>
          <w:bCs/>
          <w:color w:val="333333"/>
          <w:spacing w:val="9"/>
          <w:sz w:val="21"/>
          <w:szCs w:val="21"/>
        </w:rPr>
      </w:pPr>
      <w:r>
        <w:rPr>
          <w:rStyle w:val="any"/>
          <w:rFonts w:ascii="PMingLiU" w:eastAsia="PMingLiU" w:hAnsi="PMingLiU" w:cs="PMingLiU"/>
          <w:b/>
          <w:bCs/>
          <w:color w:val="333333"/>
          <w:spacing w:val="9"/>
          <w:sz w:val="21"/>
          <w:szCs w:val="21"/>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86&amp;idx=1&amp;sn=539ebddfed43d950c2dd233c27624f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