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55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95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40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2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3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16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8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53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