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: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中国打响降低医院论文撤稿率之战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23:00:38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812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4539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873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5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  <w:t>2025 年 4 月 1 日，来自中国北京朝阳医院的 Gong Jie Zhang 和 Ya Bin Zhou 发文指出，《自然》杂志（Nature 638, 596–599; 2025）曾报道中国医院出版物撤稿率高这一问题。但实际上，中国已采取措施降低医院论文撤稿率。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68968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36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8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  <w:t>自 2021 年以来，涉及中国共同作者的被撤稿论文超过 17000 篇，主要问题包括抄袭、数据造假和论文工厂等。为应对这一情况，2024 年初，教育部要求高校提交过去三年所有撤稿的详细报告，旨在查明原因并加强问责。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7808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50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  <w:t>同时，一些中国机构，如医院，也出台内部政策改善研究监督，努力加强同行评审流程，减轻发表压力，以减少学术不端行为。这些举措反映了中国在维护其不断增长的科学声誉方面的努力，尽管由于研究产出规模大以及存在重数量轻质量的系统性激励机制，挑战依然存在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https://www.nature.com/articles/d41586-023-03974-8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https://www.nature.com/articles/d41586-025-01007-0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913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581&amp;idx=1&amp;sn=a618c811b5c575442cd7f605967e76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