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 xml:space="preserve">14 </w:t>
        </w:r>
        <w:r>
          <w:rPr>
            <w:rStyle w:val="a"/>
            <w:rFonts w:ascii="PMingLiU" w:eastAsia="PMingLiU" w:hAnsi="PMingLiU" w:cs="PMingLiU"/>
            <w:b w:val="0"/>
            <w:bCs w:val="0"/>
            <w:spacing w:val="8"/>
          </w:rPr>
          <w:t>所大学被曝夸大出版指标，或存在可疑作者署名行为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2025-04-08 22:49:37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3487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7254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343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40863" name=""/>
                    <pic:cNvPicPr>
                      <a:picLocks noChangeAspect="1"/>
                    </pic:cNvPicPr>
                  </pic:nvPicPr>
                  <pic:blipFill>
                    <a:blip xmlns:r="http://schemas.openxmlformats.org/officeDocument/2006/relationships" r:embed="rId8"/>
                    <a:stretch>
                      <a:fillRect/>
                    </a:stretch>
                  </pic:blipFill>
                  <pic:spPr>
                    <a:xfrm>
                      <a:off x="0" y="0"/>
                      <a:ext cx="5486400" cy="48343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近日，黎巴嫩贝鲁特美国大学的研究人员</w:t>
      </w:r>
      <w:r>
        <w:rPr>
          <w:rStyle w:val="any"/>
          <w:rFonts w:ascii="Times New Roman" w:eastAsia="Times New Roman" w:hAnsi="Times New Roman" w:cs="Times New Roman"/>
          <w:spacing w:val="8"/>
        </w:rPr>
        <w:t xml:space="preserve"> Lokman Meho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Elie Akl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日发表于《定量科学研究》的一项研究指出，十几所大学存在通过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可疑的作者署名做法</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来夸大其出版指标的行为。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研究人员通过</w:t>
      </w:r>
      <w:r>
        <w:rPr>
          <w:rStyle w:val="any"/>
          <w:rFonts w:ascii="Times New Roman" w:eastAsia="Times New Roman" w:hAnsi="Times New Roman" w:cs="Times New Roman"/>
          <w:spacing w:val="8"/>
        </w:rPr>
        <w:t xml:space="preserve"> Elsevier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SciVal</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Scopus </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Clarivate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的数据，筛选出</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年间研究产出（以发表期刊文章数量衡量）增长超</w:t>
      </w:r>
      <w:r>
        <w:rPr>
          <w:rStyle w:val="any"/>
          <w:rFonts w:ascii="Times New Roman" w:eastAsia="Times New Roman" w:hAnsi="Times New Roman" w:cs="Times New Roman"/>
          <w:spacing w:val="8"/>
        </w:rPr>
        <w:t xml:space="preserve"> 100%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80 </w:t>
      </w:r>
      <w:r>
        <w:rPr>
          <w:rStyle w:val="any"/>
          <w:rFonts w:ascii="PMingLiU" w:eastAsia="PMingLiU" w:hAnsi="PMingLiU" w:cs="PMingLiU"/>
          <w:spacing w:val="8"/>
        </w:rPr>
        <w:t>所大学，这些大学的增速远超全球</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的平均水平。其中</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所大学在四年内第一作者率下降超过</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个百分点，这一降幅是平均降幅</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的五倍多，可能暗示着诸如出售作者身份或荣誉作者等可疑做法。</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所大学包括埃及新开罗的未来大学、印度多所大学、伊拉克的阿尔穆斯塔克巴尔大学学院、黎巴嫩美国大学、沙特阿拉伯多所大学等。在</w:t>
      </w:r>
      <w:r>
        <w:rPr>
          <w:rStyle w:val="any"/>
          <w:rFonts w:ascii="Times New Roman" w:eastAsia="Times New Roman" w:hAnsi="Times New Roman" w:cs="Times New Roman"/>
          <w:spacing w:val="8"/>
        </w:rPr>
        <w:t xml:space="preserve"> 2019 - 2023 </w:t>
      </w:r>
      <w:r>
        <w:rPr>
          <w:rStyle w:val="any"/>
          <w:rFonts w:ascii="PMingLiU" w:eastAsia="PMingLiU" w:hAnsi="PMingLiU" w:cs="PMingLiU"/>
          <w:spacing w:val="8"/>
        </w:rPr>
        <w:t>年间，这些大学的总出版物数量增长了</w:t>
      </w:r>
      <w:r>
        <w:rPr>
          <w:rStyle w:val="any"/>
          <w:rFonts w:ascii="Times New Roman" w:eastAsia="Times New Roman" w:hAnsi="Times New Roman" w:cs="Times New Roman"/>
          <w:spacing w:val="8"/>
        </w:rPr>
        <w:t xml:space="preserve"> 234%</w:t>
      </w:r>
      <w:r>
        <w:rPr>
          <w:rStyle w:val="any"/>
          <w:rFonts w:ascii="PMingLiU" w:eastAsia="PMingLiU" w:hAnsi="PMingLiU" w:cs="PMingLiU"/>
          <w:spacing w:val="8"/>
        </w:rPr>
        <w:t>，但第一作者率下降了</w:t>
      </w:r>
      <w:r>
        <w:rPr>
          <w:rStyle w:val="any"/>
          <w:rFonts w:ascii="Times New Roman" w:eastAsia="Times New Roman" w:hAnsi="Times New Roman" w:cs="Times New Roman"/>
          <w:spacing w:val="8"/>
        </w:rPr>
        <w:t xml:space="preserve"> 23%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14 </w:t>
      </w:r>
      <w:r>
        <w:rPr>
          <w:rStyle w:val="any"/>
          <w:rFonts w:ascii="PMingLiU" w:eastAsia="PMingLiU" w:hAnsi="PMingLiU" w:cs="PMingLiU"/>
          <w:spacing w:val="8"/>
        </w:rPr>
        <w:t>所学校中有</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所在</w:t>
      </w:r>
      <w:r>
        <w:rPr>
          <w:rStyle w:val="any"/>
          <w:rFonts w:ascii="Times New Roman" w:eastAsia="Times New Roman" w:hAnsi="Times New Roman" w:cs="Times New Roman"/>
          <w:spacing w:val="8"/>
        </w:rPr>
        <w:t xml:space="preserve"> 1000 </w:t>
      </w:r>
      <w:r>
        <w:rPr>
          <w:rStyle w:val="any"/>
          <w:rFonts w:ascii="PMingLiU" w:eastAsia="PMingLiU" w:hAnsi="PMingLiU" w:cs="PMingLiU"/>
          <w:spacing w:val="8"/>
        </w:rPr>
        <w:t>所发表文章最多的大学中，第一作者率降幅排名靠前；到</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年，有</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所位于第一作者率最低的</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所大学之列。</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此外，研究人员还关注了高产作者情况，将每年发表</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篇及以上文章定义为高产作者。这</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所大学的高产作者数量从</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人增加到</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 177 </w:t>
      </w:r>
      <w:r>
        <w:rPr>
          <w:rStyle w:val="any"/>
          <w:rFonts w:ascii="PMingLiU" w:eastAsia="PMingLiU" w:hAnsi="PMingLiU" w:cs="PMingLiU"/>
          <w:spacing w:val="8"/>
        </w:rPr>
        <w:t>人，增幅达</w:t>
      </w:r>
      <w:r>
        <w:rPr>
          <w:rStyle w:val="any"/>
          <w:rFonts w:ascii="Times New Roman" w:eastAsia="Times New Roman" w:hAnsi="Times New Roman" w:cs="Times New Roman"/>
          <w:spacing w:val="8"/>
        </w:rPr>
        <w:t xml:space="preserve"> 670%</w:t>
      </w:r>
      <w:r>
        <w:rPr>
          <w:rStyle w:val="any"/>
          <w:rFonts w:ascii="PMingLiU" w:eastAsia="PMingLiU" w:hAnsi="PMingLiU" w:cs="PMingLiU"/>
          <w:spacing w:val="8"/>
        </w:rPr>
        <w:t>，增速是平均水平的</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倍。许多高产作者为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非核心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作者，即与非直接所属大学合作发文。</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同时，文章多机构作者的比例在</w:t>
      </w:r>
      <w:r>
        <w:rPr>
          <w:rStyle w:val="any"/>
          <w:rFonts w:ascii="Times New Roman" w:eastAsia="Times New Roman" w:hAnsi="Times New Roman" w:cs="Times New Roman"/>
          <w:spacing w:val="8"/>
        </w:rPr>
        <w:t xml:space="preserve"> 2019 - 2023 </w:t>
      </w:r>
      <w:r>
        <w:rPr>
          <w:rStyle w:val="any"/>
          <w:rFonts w:ascii="PMingLiU" w:eastAsia="PMingLiU" w:hAnsi="PMingLiU" w:cs="PMingLiU"/>
          <w:spacing w:val="8"/>
        </w:rPr>
        <w:t>年间稳定在</w:t>
      </w:r>
      <w:r>
        <w:rPr>
          <w:rStyle w:val="any"/>
          <w:rFonts w:ascii="Times New Roman" w:eastAsia="Times New Roman" w:hAnsi="Times New Roman" w:cs="Times New Roman"/>
          <w:spacing w:val="8"/>
        </w:rPr>
        <w:t xml:space="preserve"> 18%</w:t>
      </w:r>
      <w:r>
        <w:rPr>
          <w:rStyle w:val="any"/>
          <w:rFonts w:ascii="PMingLiU" w:eastAsia="PMingLiU" w:hAnsi="PMingLiU" w:cs="PMingLiU"/>
          <w:spacing w:val="8"/>
        </w:rPr>
        <w:t>，而以传统作者署名做法著称的加州理工学院、麻省理工学院、普林斯顿大学和加州大学伯克利分校组成的对照组，这一比例仅为</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研究人员认为，夸大科研产出会直接影响排名系统的结果，降低其可靠性和实用性。他们呼吁大学、资助机构和政策制定者等制定并执行更严格的作者署名指导方针和审查流程。目前，这</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所大学均未回应置评请求</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PMingLiU" w:eastAsia="PMingLiU" w:hAnsi="PMingLiU" w:cs="PMingLiU"/>
          <w:i w:val="0"/>
          <w:iCs w:val="0"/>
          <w:caps w:val="0"/>
          <w:spacing w:val="0"/>
          <w:sz w:val="24"/>
          <w:szCs w:val="24"/>
        </w:rPr>
        <w:t>标题</w:t>
      </w:r>
    </w:p>
    <w:p>
      <w:pPr>
        <w:spacing w:before="0" w:after="0" w:line="384" w:lineRule="atLeast"/>
        <w:ind w:left="300" w:right="300"/>
        <w:rPr>
          <w:rStyle w:val="any"/>
          <w:rFonts w:ascii="Times New Roman" w:eastAsia="Times New Roman" w:hAnsi="Times New Roman" w:cs="Times New Roman"/>
          <w:spacing w:val="8"/>
        </w:rPr>
      </w:pPr>
    </w:p>
    <w:p>
      <w:pPr>
        <w:widowControl/>
        <w:numPr>
          <w:ilvl w:val="0"/>
          <w:numId w:val="1"/>
        </w:numPr>
        <w:spacing w:before="0" w:after="0" w:line="312" w:lineRule="atLeast"/>
        <w:ind w:left="592" w:right="300" w:hanging="250"/>
        <w:jc w:val="left"/>
        <w:rPr>
          <w:rStyle w:val="any"/>
          <w:rFonts w:ascii="Segoe UI" w:eastAsia="Segoe UI" w:hAnsi="Segoe UI" w:cs="Segoe UI"/>
          <w:b w:val="0"/>
          <w:bCs w:val="0"/>
          <w:i w:val="0"/>
          <w:iCs w:val="0"/>
          <w:caps w:val="0"/>
          <w:spacing w:val="0"/>
          <w:sz w:val="20"/>
          <w:szCs w:val="20"/>
        </w:rPr>
      </w:pPr>
      <w:r>
        <w:rPr>
          <w:rStyle w:val="any"/>
          <w:rFonts w:ascii="PMingLiU" w:eastAsia="PMingLiU" w:hAnsi="PMingLiU" w:cs="PMingLiU"/>
          <w:b w:val="0"/>
          <w:bCs w:val="0"/>
          <w:i w:val="0"/>
          <w:iCs w:val="0"/>
          <w:caps w:val="0"/>
          <w:spacing w:val="0"/>
          <w:sz w:val="20"/>
          <w:szCs w:val="20"/>
        </w:rPr>
        <w:t>《，学术诚信何在？》</w:t>
      </w:r>
    </w:p>
    <w:p>
      <w:pPr>
        <w:widowControl/>
        <w:numPr>
          <w:ilvl w:val="0"/>
          <w:numId w:val="1"/>
        </w:numPr>
        <w:spacing w:before="0" w:after="0" w:line="312" w:lineRule="atLeast"/>
        <w:ind w:left="592" w:right="300" w:hanging="250"/>
        <w:jc w:val="left"/>
        <w:rPr>
          <w:rStyle w:val="any"/>
          <w:rFonts w:ascii="Segoe UI" w:eastAsia="Segoe UI" w:hAnsi="Segoe UI" w:cs="Segoe UI"/>
          <w:b w:val="0"/>
          <w:bCs w:val="0"/>
          <w:i w:val="0"/>
          <w:iCs w:val="0"/>
          <w:caps w:val="0"/>
          <w:spacing w:val="0"/>
          <w:sz w:val="20"/>
          <w:szCs w:val="20"/>
        </w:rPr>
      </w:pPr>
      <w:r>
        <w:rPr>
          <w:rStyle w:val="any"/>
          <w:rFonts w:ascii="PMingLiU" w:eastAsia="PMingLiU" w:hAnsi="PMingLiU" w:cs="PMingLiU"/>
          <w:b w:val="0"/>
          <w:bCs w:val="0"/>
          <w:i w:val="0"/>
          <w:iCs w:val="0"/>
          <w:caps w:val="0"/>
          <w:spacing w:val="0"/>
          <w:sz w:val="20"/>
          <w:szCs w:val="20"/>
        </w:rPr>
        <w:t>《研究揭示：》</w:t>
      </w:r>
    </w:p>
    <w:p>
      <w:pPr>
        <w:widowControl/>
        <w:numPr>
          <w:ilvl w:val="0"/>
          <w:numId w:val="1"/>
        </w:numPr>
        <w:spacing w:before="0" w:after="120" w:line="312" w:lineRule="atLeast"/>
        <w:ind w:left="592" w:right="300" w:hanging="250"/>
        <w:jc w:val="left"/>
        <w:rPr>
          <w:rStyle w:val="any"/>
          <w:rFonts w:ascii="Segoe UI" w:eastAsia="Segoe UI" w:hAnsi="Segoe UI" w:cs="Segoe UI"/>
          <w:b w:val="0"/>
          <w:bCs w:val="0"/>
          <w:i w:val="0"/>
          <w:iCs w:val="0"/>
          <w:caps w:val="0"/>
          <w:spacing w:val="0"/>
          <w:sz w:val="20"/>
          <w:szCs w:val="20"/>
        </w:rPr>
      </w:pPr>
      <w:r>
        <w:rPr>
          <w:rStyle w:val="any"/>
          <w:rFonts w:ascii="PMingLiU" w:eastAsia="PMingLiU" w:hAnsi="PMingLiU" w:cs="PMingLiU"/>
          <w:b w:val="0"/>
          <w:bCs w:val="0"/>
          <w:i w:val="0"/>
          <w:iCs w:val="0"/>
          <w:caps w:val="0"/>
          <w:spacing w:val="0"/>
          <w:sz w:val="20"/>
          <w:szCs w:val="20"/>
        </w:rPr>
        <w:t>《</w:t>
      </w:r>
      <w:r>
        <w:rPr>
          <w:rStyle w:val="any"/>
          <w:rFonts w:ascii="Segoe UI" w:eastAsia="Segoe UI" w:hAnsi="Segoe UI" w:cs="Segoe UI"/>
          <w:b w:val="0"/>
          <w:bCs w:val="0"/>
          <w:i w:val="0"/>
          <w:iCs w:val="0"/>
          <w:caps w:val="0"/>
          <w:spacing w:val="0"/>
          <w:sz w:val="20"/>
          <w:szCs w:val="20"/>
        </w:rPr>
        <w:t xml:space="preserve">14 </w:t>
      </w:r>
      <w:r>
        <w:rPr>
          <w:rStyle w:val="any"/>
          <w:rFonts w:ascii="PMingLiU" w:eastAsia="PMingLiU" w:hAnsi="PMingLiU" w:cs="PMingLiU"/>
          <w:b w:val="0"/>
          <w:bCs w:val="0"/>
          <w:i w:val="0"/>
          <w:iCs w:val="0"/>
          <w:caps w:val="0"/>
          <w:spacing w:val="0"/>
          <w:sz w:val="20"/>
          <w:szCs w:val="20"/>
        </w:rPr>
        <w:t>所大学科研数据激增背后：作者署名乱象调查》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4794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558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82&amp;idx=3&amp;sn=a21c1ff7a734c0fc1fd7cb08e095ab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