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上海市第九人民医院的论文被撤稿，主要原因是数据与早期文章重复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2025-04-08 09:15:29</w:t>
      </w:r>
      <w:r>
        <w:rPr>
          <w:rStyle w:val="richmediametalistem"/>
          <w:rFonts w:ascii="PMingLiU" w:eastAsia="PMingLiU" w:hAnsi="PMingLiU" w:cs="PMingLiU"/>
          <w:color w:val="A5A5A5"/>
          <w:spacing w:val="8"/>
          <w:sz w:val="23"/>
          <w:szCs w:val="23"/>
        </w:rPr>
        <w:t>海南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7370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长链非编码RNA（lncRNA）作为一类新的重要的效应分子，涉及乳腺癌、肺癌和口腔鳞状细胞癌等多种癌症类型，近年来引起了广泛关注。然而，诱导癌症中lncRNA失调的根本原因仍不清楚。</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2 月 1 日，上海市</w:t>
      </w:r>
      <w:r>
        <w:rPr>
          <w:rStyle w:val="any"/>
          <w:rFonts w:ascii="Microsoft YaHei UI" w:eastAsia="Microsoft YaHei UI" w:hAnsi="Microsoft YaHei UI" w:cs="Microsoft YaHei UI"/>
          <w:color w:val="222222"/>
          <w:spacing w:val="8"/>
          <w:sz w:val="23"/>
          <w:szCs w:val="23"/>
        </w:rPr>
        <w:t>第十人民医院的Chen Fubo 等人在</w:t>
      </w:r>
      <w:r>
        <w:rPr>
          <w:rStyle w:val="any"/>
          <w:rFonts w:ascii="Microsoft YaHei UI" w:eastAsia="Microsoft YaHei UI" w:hAnsi="Microsoft YaHei UI" w:cs="Microsoft YaHei UI"/>
          <w:b/>
          <w:bCs/>
          <w:i/>
          <w:iCs/>
          <w:color w:val="222222"/>
          <w:spacing w:val="8"/>
          <w:sz w:val="23"/>
          <w:szCs w:val="23"/>
        </w:rPr>
        <w:t>International journal of oncology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lncRNA PLAC2 activated by H3K27 acetylation promotes cell proliferation and invasion via the activation of Wnt/β?catenin pathway in oral squamous cell carcinoma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lncRNA PLAC2 由 OSCC 启动子区的 H3K27ac 修饰转录激活，并通过激活 Wnt/β-catenin 信号通路促进细胞生长和转移。因此，PLAC2 可作为 OSCC 预后和治疗的有希望的生物标志物。</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31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205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61913" name=""/>
                    <pic:cNvPicPr>
                      <a:picLocks noChangeAspect="1"/>
                    </pic:cNvPicPr>
                  </pic:nvPicPr>
                  <pic:blipFill>
                    <a:blip xmlns:r="http://schemas.openxmlformats.org/officeDocument/2006/relationships" r:embed="rId8"/>
                    <a:stretch>
                      <a:fillRect/>
                    </a:stretch>
                  </pic:blipFill>
                  <pic:spPr>
                    <a:xfrm>
                      <a:off x="0" y="0"/>
                      <a:ext cx="5486400" cy="302054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这篇论文发表后，一位关心此事的读者向编辑提请注意，第</w:t>
      </w:r>
      <w:r>
        <w:rPr>
          <w:rStyle w:val="any"/>
          <w:rFonts w:ascii="Times New Roman" w:eastAsia="Times New Roman" w:hAnsi="Times New Roman" w:cs="Times New Roman"/>
          <w:spacing w:val="8"/>
          <w:sz w:val="23"/>
          <w:szCs w:val="23"/>
        </w:rPr>
        <w:t xml:space="preserve"> 1189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3C </w:t>
      </w:r>
      <w:r>
        <w:rPr>
          <w:rStyle w:val="any"/>
          <w:rFonts w:ascii="PMingLiU" w:eastAsia="PMingLiU" w:hAnsi="PMingLiU" w:cs="PMingLiU"/>
          <w:spacing w:val="8"/>
          <w:sz w:val="23"/>
          <w:szCs w:val="23"/>
        </w:rPr>
        <w:t>和第</w:t>
      </w:r>
      <w:r>
        <w:rPr>
          <w:rStyle w:val="any"/>
          <w:rFonts w:ascii="Times New Roman" w:eastAsia="Times New Roman" w:hAnsi="Times New Roman" w:cs="Times New Roman"/>
          <w:spacing w:val="8"/>
          <w:sz w:val="23"/>
          <w:szCs w:val="23"/>
        </w:rPr>
        <w:t xml:space="preserve"> 1190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中所示的某些免疫荧光测定数据与不同作者在不同研究机构撰写的另一对文章中以不同形式出现的数据惊人地相似，而这两篇文章在这篇论文提交给《国际肿瘤学杂志》之前已在其他地方发表。</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鉴于上述数据显然之前已经发表过，《国际肿瘤学杂志》的编辑决定从杂志上撤回这篇论文。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在与作者联系后，作者接受了撤回论文的决定。编辑对由此给读者带来的不便深表歉意。</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https://www.spandidos-publications.com/10.3892/ijo.2025.5743</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3540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1786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832&amp;idx=1&amp;sn=8516a1056f10944d49109a7460d97ff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