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再次出现！广州生物医药与健康研究所潘光锦团队发表的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17:43:58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海南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1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31" w:right="831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pacing w:before="0" w:after="24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pacing w:before="0" w:after="240" w:line="39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3"/>
          <w:szCs w:val="23"/>
          <w:u w:val="none"/>
        </w:rPr>
        <w:drawing>
          <wp:inline>
            <wp:extent cx="4054202" cy="2327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4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02" cy="232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编者按：诚信科研编辑部对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中国科学院广州生物医药与健康研究所的所有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PI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的文章进行了系统的筛选，发现有些文章存在数据异常，后续会重点披露高水平文章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具有数据操纵的文章。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中国科学院广州生物医药与健康研究所</w:t>
      </w:r>
      <w:r>
        <w:rPr>
          <w:rStyle w:val="any"/>
          <w:rFonts w:ascii="PMingLiU" w:eastAsia="PMingLiU" w:hAnsi="PMingLiU" w:cs="PMingLiU"/>
          <w:spacing w:val="8"/>
        </w:rPr>
        <w:t>潘光锦团队在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NATURE COMMUNICATIONS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METTL3/METTL14 maintain human nucleoli integrity by mediating SUV39H1/H2 degradation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CJK6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文章），发现文章内存在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53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03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62550" cy="15811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54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2B-11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2C-13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3D-14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3D-9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03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04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10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诚信科研编辑部通过天眼系统，发现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</w:t>
      </w:r>
      <w:r>
        <w:rPr>
          <w:rStyle w:val="any"/>
          <w:rFonts w:ascii="PMingLiU" w:eastAsia="PMingLiU" w:hAnsi="PMingLiU" w:cs="PMingLiU"/>
          <w:spacing w:val="8"/>
        </w:rPr>
        <w:t>中国科学院广州生物医药与健康研究所</w:t>
      </w:r>
      <w:r>
        <w:rPr>
          <w:rStyle w:val="any"/>
          <w:rFonts w:ascii="PMingLiU" w:eastAsia="PMingLiU" w:hAnsi="PMingLiU" w:cs="PMingLiU"/>
          <w:spacing w:val="8"/>
        </w:rPr>
        <w:t>潘光锦团队在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NATURE COMMUNICATIONS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6"/>
          <w:szCs w:val="26"/>
        </w:rPr>
        <w:br/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在线发表题为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PRC2 specifies ectoderm lineages and maintains pluripotency in primed but not na?ve ESCs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CJK78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文章），发现文章内存在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9948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14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诚信科研编辑部首先获取这篇文章的图片（截图都是从左到右，从上到下的顺序进行；如果有Merge类的图片，只获取Merge后的图片；如果有放大类的图片，只获取放大/放大前的图片）。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24125" cy="13525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72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对所有图片（非蛋白印迹）进行检测，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对图片数据重复：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5D-18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S5C-20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21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27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5D-18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S5C-20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放大，发现这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个图片明显重叠。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4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62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PMingLiU" w:eastAsia="PMingLiU" w:hAnsi="PMingLiU" w:cs="PMingLiU"/>
          <w:color w:val="00000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与杂志社联系更正文章重复的图片。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394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4054145" cy="2327184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737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145" cy="232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831&amp;idx=1&amp;sn=a58932d6747262498d9973b6f2b885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