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接受后改作者，</w:t>
        </w:r>
        <w:r>
          <w:rPr>
            <w:rStyle w:val="a"/>
            <w:rFonts w:ascii="Times New Roman" w:eastAsia="Times New Roman" w:hAnsi="Times New Roman" w:cs="Times New Roman"/>
            <w:b w:val="0"/>
            <w:bCs w:val="0"/>
            <w:spacing w:val="8"/>
          </w:rPr>
          <w:t>Heliyon</w:t>
        </w:r>
        <w:r>
          <w:rPr>
            <w:rStyle w:val="a"/>
            <w:rFonts w:ascii="PMingLiU" w:eastAsia="PMingLiU" w:hAnsi="PMingLiU" w:cs="PMingLiU"/>
            <w:b w:val="0"/>
            <w:bCs w:val="0"/>
            <w:spacing w:val="8"/>
          </w:rPr>
          <w:t>杂志连撤七篇文章，涉多家知名医院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碰到撤稿不用慌</w:t>
      </w:r>
      <w:hyperlink r:id="rId5" w:history="1">
        <w:bookmarkStart w:id="0" w:name="js_name"/>
        <w:r>
          <w:rPr>
            <w:rStyle w:val="a"/>
            <w:rFonts w:ascii="PMingLiU" w:eastAsia="PMingLiU" w:hAnsi="PMingLiU" w:cs="PMingLiU"/>
            <w:spacing w:val="8"/>
            <w:sz w:val="23"/>
            <w:szCs w:val="23"/>
          </w:rPr>
          <w:t>碰到撤稿不用慌</w:t>
        </w:r>
      </w:hyperlink>
      <w:bookmarkEnd w:id="0"/>
      <w:r>
        <w:rPr>
          <w:rStyle w:val="richmediametalistem"/>
          <w:rFonts w:ascii="Times New Roman" w:eastAsia="Times New Roman" w:hAnsi="Times New Roman" w:cs="Times New Roman"/>
          <w:color w:val="A5A5A5"/>
          <w:spacing w:val="8"/>
          <w:sz w:val="23"/>
          <w:szCs w:val="23"/>
        </w:rPr>
        <w:t>2025-04-10 21:19:04</w:t>
      </w:r>
      <w:r>
        <w:rPr>
          <w:rStyle w:val="richmediametalistem"/>
          <w:rFonts w:ascii="PMingLiU" w:eastAsia="PMingLiU" w:hAnsi="PMingLiU" w:cs="PMingLiU"/>
          <w:color w:val="A5A5A5"/>
          <w:spacing w:val="8"/>
          <w:sz w:val="23"/>
          <w:szCs w:val="23"/>
        </w:rPr>
        <w:t>湖北</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Calibri" w:eastAsia="Calibri" w:hAnsi="Calibri" w:cs="Calibri"/>
          <w:b/>
          <w:bCs/>
          <w:caps w:val="0"/>
          <w:smallCaps w:val="0"/>
          <w:color w:val="FF0000"/>
          <w:spacing w:val="8"/>
          <w:sz w:val="36"/>
          <w:szCs w:val="36"/>
        </w:rPr>
        <w:t> </w:t>
      </w:r>
      <w:r>
        <w:rPr>
          <w:rStyle w:val="any"/>
          <w:rFonts w:ascii="黑体" w:eastAsia="黑体" w:hAnsi="黑体" w:cs="黑体"/>
          <w:b/>
          <w:bCs/>
          <w:caps w:val="0"/>
          <w:smallCaps w:val="0"/>
          <w:color w:val="FF0000"/>
          <w:spacing w:val="8"/>
          <w:sz w:val="36"/>
          <w:szCs w:val="36"/>
        </w:rPr>
        <w:t xml:space="preserve"> </w:t>
      </w:r>
      <w:r>
        <w:rPr>
          <w:rStyle w:val="any"/>
          <w:rFonts w:ascii="Calibri" w:eastAsia="Calibri" w:hAnsi="Calibri" w:cs="Calibri"/>
          <w:b/>
          <w:bCs/>
          <w:caps w:val="0"/>
          <w:smallCaps w:val="0"/>
          <w:color w:val="FF0000"/>
          <w:spacing w:val="8"/>
          <w:sz w:val="36"/>
          <w:szCs w:val="36"/>
        </w:rPr>
        <w:t> </w:t>
      </w:r>
      <w:r>
        <w:rPr>
          <w:rStyle w:val="any"/>
          <w:rFonts w:ascii="黑体" w:eastAsia="黑体" w:hAnsi="黑体" w:cs="黑体"/>
          <w:b/>
          <w:bCs/>
          <w:caps w:val="0"/>
          <w:smallCaps w:val="0"/>
          <w:color w:val="FF0000"/>
          <w:spacing w:val="8"/>
          <w:sz w:val="36"/>
          <w:szCs w:val="36"/>
        </w:rPr>
        <w:t xml:space="preserve"> </w:t>
      </w:r>
      <w:r>
        <w:rPr>
          <w:rStyle w:val="any"/>
          <w:rFonts w:ascii="Calibri" w:eastAsia="Calibri" w:hAnsi="Calibri" w:cs="Calibri"/>
          <w:b/>
          <w:bCs/>
          <w:caps w:val="0"/>
          <w:smallCaps w:val="0"/>
          <w:color w:val="FF0000"/>
          <w:spacing w:val="8"/>
          <w:sz w:val="36"/>
          <w:szCs w:val="36"/>
        </w:rPr>
        <w:t> </w:t>
      </w:r>
      <w:r>
        <w:rPr>
          <w:rStyle w:val="any"/>
          <w:rFonts w:ascii="黑体" w:eastAsia="黑体" w:hAnsi="黑体" w:cs="黑体"/>
          <w:b/>
          <w:bCs/>
          <w:caps w:val="0"/>
          <w:smallCaps w:val="0"/>
          <w:color w:val="FF0000"/>
          <w:spacing w:val="8"/>
          <w:sz w:val="36"/>
          <w:szCs w:val="36"/>
        </w:rPr>
        <w:t xml:space="preserve"> </w:t>
      </w:r>
      <w:r>
        <w:rPr>
          <w:rStyle w:val="any"/>
          <w:rFonts w:ascii="Calibri" w:eastAsia="Calibri" w:hAnsi="Calibri" w:cs="Calibri"/>
          <w:b/>
          <w:bCs/>
          <w:caps w:val="0"/>
          <w:smallCaps w:val="0"/>
          <w:color w:val="FF0000"/>
          <w:spacing w:val="8"/>
          <w:sz w:val="36"/>
          <w:szCs w:val="36"/>
        </w:rPr>
        <w:t> </w:t>
      </w:r>
      <w:r>
        <w:rPr>
          <w:rStyle w:val="any"/>
          <w:rFonts w:ascii="黑体" w:eastAsia="黑体" w:hAnsi="黑体" w:cs="黑体"/>
          <w:b/>
          <w:bCs/>
          <w:caps w:val="0"/>
          <w:smallCaps w:val="0"/>
          <w:color w:val="FF0000"/>
          <w:spacing w:val="8"/>
          <w:sz w:val="36"/>
          <w:szCs w:val="36"/>
        </w:rPr>
        <w:t xml:space="preserve"> </w:t>
      </w:r>
      <w:r>
        <w:rPr>
          <w:rStyle w:val="any"/>
          <w:rFonts w:ascii="Calibri" w:eastAsia="Calibri" w:hAnsi="Calibri" w:cs="Calibri"/>
          <w:b/>
          <w:bCs/>
          <w:caps w:val="0"/>
          <w:smallCaps w:val="0"/>
          <w:color w:val="FF0000"/>
          <w:spacing w:val="8"/>
          <w:sz w:val="36"/>
          <w:szCs w:val="36"/>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tbl>
      <w:tblPr>
        <w:tblStyle w:val="table"/>
        <w:tblW w:w="5000" w:type="pct"/>
        <w:tblInd w:w="455" w:type="dxa"/>
        <w:tblCellMar>
          <w:top w:w="0" w:type="dxa"/>
          <w:left w:w="0" w:type="dxa"/>
          <w:bottom w:w="0" w:type="dxa"/>
          <w:right w:w="0" w:type="dxa"/>
        </w:tblCellMar>
        <w:tblLook w:val="05E0"/>
      </w:tblPr>
      <w:tblGrid>
        <w:gridCol w:w="2410"/>
        <w:gridCol w:w="29270"/>
      </w:tblGrid>
      <w:tr>
        <w:tblPrEx>
          <w:tblW w:w="5000" w:type="pct"/>
          <w:tblInd w:w="455" w:type="dxa"/>
          <w:tblCellMar>
            <w:top w:w="0" w:type="dxa"/>
            <w:left w:w="0" w:type="dxa"/>
            <w:bottom w:w="0" w:type="dxa"/>
            <w:right w:w="0" w:type="dxa"/>
          </w:tblCellMar>
          <w:tblLook w:val="05E0"/>
        </w:tblPrEx>
        <w:trPr>
          <w:trHeight w:val="2189"/>
        </w:trPr>
        <w:tc>
          <w:tcPr>
            <w:tcW w:w="8820" w:type="dxa"/>
            <w:gridSpan w:val="2"/>
            <w:noWrap w:val="0"/>
            <w:tcMar>
              <w:top w:w="80" w:type="dxa"/>
              <w:left w:w="155" w:type="dxa"/>
              <w:bottom w:w="80" w:type="dxa"/>
              <w:right w:w="155" w:type="dxa"/>
            </w:tcMar>
            <w:vAlign w:val="top"/>
            <w:hideMark/>
          </w:tcPr>
          <w:p>
            <w:pPr>
              <w:pStyle w:val="p"/>
              <w:pBdr>
                <w:top w:val="none" w:sz="0" w:space="0" w:color="auto"/>
                <w:left w:val="none" w:sz="0" w:space="0" w:color="auto"/>
                <w:bottom w:val="none" w:sz="0" w:space="0" w:color="auto"/>
                <w:right w:val="none" w:sz="0" w:space="0" w:color="auto"/>
              </w:pBdr>
              <w:spacing w:before="0" w:after="0"/>
              <w:ind w:left="0" w:right="0" w:firstLine="0"/>
              <w:jc w:val="center"/>
              <w:rPr>
                <w:rStyle w:val="any"/>
                <w:rFonts w:ascii="Calibri" w:eastAsia="Calibri" w:hAnsi="Calibri" w:cs="Calibri"/>
                <w:b w:val="0"/>
                <w:bCs w:val="0"/>
                <w:i w:val="0"/>
                <w:iCs w:val="0"/>
                <w:smallCaps w:val="0"/>
                <w:color w:val="000000"/>
                <w:spacing w:val="8"/>
              </w:rPr>
            </w:pP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r>
              <w:rPr>
                <w:rStyle w:val="any"/>
                <w:rFonts w:ascii="黑体" w:eastAsia="黑体" w:hAnsi="黑体" w:cs="黑体"/>
                <w:b/>
                <w:bCs/>
                <w:i w:val="0"/>
                <w:iCs w:val="0"/>
                <w:caps w:val="0"/>
                <w:smallCaps w:val="0"/>
                <w:color w:val="000000"/>
                <w:spacing w:val="8"/>
                <w:sz w:val="21"/>
                <w:szCs w:val="21"/>
              </w:rPr>
              <w:t xml:space="preserve"> </w:t>
            </w:r>
            <w:r>
              <w:rPr>
                <w:rStyle w:val="any"/>
                <w:rFonts w:ascii="Calibri" w:eastAsia="Calibri" w:hAnsi="Calibri" w:cs="Calibri"/>
                <w:b/>
                <w:bCs/>
                <w:i w:val="0"/>
                <w:iCs w:val="0"/>
                <w:caps w:val="0"/>
                <w:smallCaps w:val="0"/>
                <w:color w:val="000000"/>
                <w:spacing w:val="8"/>
                <w:sz w:val="21"/>
                <w:szCs w:val="21"/>
              </w:rPr>
              <w:t>  </w:t>
            </w:r>
          </w:p>
          <w:p>
            <w:pPr>
              <w:pStyle w:val="p"/>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Times New Roman" w:eastAsia="Times New Roman" w:hAnsi="Times New Roman" w:cs="Times New Roman"/>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ind w:left="0" w:right="0" w:firstLine="0"/>
              <w:jc w:val="center"/>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rPr>
              <w:drawing>
                <wp:inline>
                  <wp:extent cx="5302948" cy="99374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09258" name=""/>
                          <pic:cNvPicPr>
                            <a:picLocks noChangeAspect="1"/>
                          </pic:cNvPicPr>
                        </pic:nvPicPr>
                        <pic:blipFill>
                          <a:blip xmlns:r="http://schemas.openxmlformats.org/officeDocument/2006/relationships" r:embed="rId6"/>
                          <a:stretch>
                            <a:fillRect/>
                          </a:stretch>
                        </pic:blipFill>
                        <pic:spPr>
                          <a:xfrm>
                            <a:off x="0" y="0"/>
                            <a:ext cx="5302948" cy="993743"/>
                          </a:xfrm>
                          <a:prstGeom prst="rect">
                            <a:avLst/>
                          </a:prstGeom>
                        </pic:spPr>
                      </pic:pic>
                    </a:graphicData>
                  </a:graphic>
                </wp:inline>
              </w:drawing>
            </w:r>
          </w:p>
        </w:tc>
      </w:tr>
      <w:tr>
        <w:tblPrEx>
          <w:tblW w:w="5000" w:type="pct"/>
          <w:tblInd w:w="455" w:type="dxa"/>
          <w:tblCellMar>
            <w:top w:w="0" w:type="dxa"/>
            <w:left w:w="0" w:type="dxa"/>
            <w:bottom w:w="0" w:type="dxa"/>
            <w:right w:w="0" w:type="dxa"/>
          </w:tblCellMar>
          <w:tblLook w:val="05E0"/>
        </w:tblPrEx>
        <w:trPr>
          <w:trHeight w:val="684"/>
        </w:trPr>
        <w:tc>
          <w:tcPr>
            <w:tcW w:w="8820" w:type="dxa"/>
            <w:gridSpan w:val="2"/>
            <w:noWrap w:val="0"/>
            <w:tcMar>
              <w:top w:w="80" w:type="dxa"/>
              <w:left w:w="155" w:type="dxa"/>
              <w:bottom w:w="80" w:type="dxa"/>
              <w:right w:w="155" w:type="dxa"/>
            </w:tcMar>
            <w:vAlign w:val="top"/>
            <w:hideMark/>
          </w:tcPr>
          <w:p>
            <w:pPr>
              <w:pStyle w:val="p"/>
              <w:pBdr>
                <w:top w:val="none" w:sz="0" w:space="0" w:color="auto"/>
                <w:left w:val="none" w:sz="0" w:space="0" w:color="auto"/>
                <w:bottom w:val="none" w:sz="0" w:space="0" w:color="auto"/>
                <w:right w:val="none" w:sz="0" w:space="0" w:color="auto"/>
              </w:pBdr>
              <w:spacing w:before="0" w:after="0"/>
              <w:ind w:left="0" w:right="0" w:firstLine="0"/>
              <w:jc w:val="center"/>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111111"/>
                <w:spacing w:val="8"/>
                <w:sz w:val="28"/>
                <w:szCs w:val="28"/>
              </w:rPr>
              <w:t>接受后改作者，</w:t>
            </w:r>
            <w:r>
              <w:rPr>
                <w:rStyle w:val="any"/>
                <w:b/>
                <w:bCs/>
                <w:i w:val="0"/>
                <w:iCs w:val="0"/>
                <w:caps w:val="0"/>
                <w:smallCaps w:val="0"/>
                <w:color w:val="111111"/>
                <w:spacing w:val="8"/>
                <w:sz w:val="28"/>
                <w:szCs w:val="28"/>
              </w:rPr>
              <w:t>Heliyon</w:t>
            </w:r>
            <w:r>
              <w:rPr>
                <w:rStyle w:val="any"/>
                <w:rFonts w:ascii="PMingLiU" w:eastAsia="PMingLiU" w:hAnsi="PMingLiU" w:cs="PMingLiU"/>
                <w:b/>
                <w:bCs/>
                <w:i w:val="0"/>
                <w:iCs w:val="0"/>
                <w:caps w:val="0"/>
                <w:smallCaps w:val="0"/>
                <w:color w:val="111111"/>
                <w:spacing w:val="8"/>
                <w:sz w:val="28"/>
                <w:szCs w:val="28"/>
              </w:rPr>
              <w:t>杂志</w:t>
            </w:r>
            <w:r>
              <w:rPr>
                <w:rStyle w:val="any"/>
                <w:rFonts w:ascii="PMingLiU" w:eastAsia="PMingLiU" w:hAnsi="PMingLiU" w:cs="PMingLiU"/>
                <w:b/>
                <w:bCs/>
                <w:i w:val="0"/>
                <w:iCs w:val="0"/>
                <w:caps w:val="0"/>
                <w:smallCaps w:val="0"/>
                <w:color w:val="111111"/>
                <w:spacing w:val="8"/>
                <w:sz w:val="28"/>
                <w:szCs w:val="28"/>
              </w:rPr>
              <w:t>连撤七篇文章，涉多家知名医院</w:t>
            </w:r>
          </w:p>
        </w:tc>
      </w:tr>
      <w:tr>
        <w:tblPrEx>
          <w:tblW w:w="5000" w:type="pct"/>
          <w:tblInd w:w="455" w:type="dxa"/>
          <w:tblCellMar>
            <w:top w:w="0" w:type="dxa"/>
            <w:left w:w="0" w:type="dxa"/>
            <w:bottom w:w="0" w:type="dxa"/>
            <w:right w:w="0" w:type="dxa"/>
          </w:tblCellMar>
          <w:tblLook w:val="05E0"/>
        </w:tblPrEx>
        <w:trPr>
          <w:trHeight w:val="487"/>
        </w:trPr>
        <w:tc>
          <w:tcPr>
            <w:tcW w:w="8820" w:type="dxa"/>
            <w:gridSpan w:val="2"/>
            <w:tcBorders>
              <w:bottom w:val="single" w:sz="8" w:space="0" w:color="DDDDDD"/>
            </w:tcBorders>
            <w:noWrap w:val="0"/>
            <w:tcMar>
              <w:top w:w="80" w:type="dxa"/>
              <w:left w:w="155" w:type="dxa"/>
              <w:bottom w:w="85" w:type="dxa"/>
              <w:right w:w="155"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center"/>
              <w:rPr>
                <w:rStyle w:val="any"/>
                <w:rFonts w:ascii="Calibri" w:eastAsia="Calibri" w:hAnsi="Calibri" w:cs="Calibri"/>
                <w:b w:val="0"/>
                <w:bCs w:val="0"/>
                <w:i w:val="0"/>
                <w:iCs w:val="0"/>
                <w:smallCaps w:val="0"/>
                <w:color w:val="000000"/>
                <w:spacing w:val="8"/>
              </w:rPr>
            </w:pPr>
            <w:r>
              <w:rPr>
                <w:rStyle w:val="any"/>
                <w:rFonts w:ascii="黑体" w:eastAsia="黑体" w:hAnsi="黑体" w:cs="黑体"/>
                <w:b/>
                <w:bCs/>
                <w:i w:val="0"/>
                <w:iCs w:val="0"/>
                <w:caps w:val="0"/>
                <w:smallCaps w:val="0"/>
                <w:color w:val="11428A"/>
                <w:spacing w:val="8"/>
                <w:sz w:val="30"/>
                <w:szCs w:val="30"/>
                <w:vertAlign w:val="baseline"/>
              </w:rPr>
              <w:t>论 文 概 况</w:t>
            </w:r>
          </w:p>
        </w:tc>
      </w:tr>
      <w:tr>
        <w:tblPrEx>
          <w:tblW w:w="5000" w:type="pct"/>
          <w:tblInd w:w="455" w:type="dxa"/>
          <w:tblCellMar>
            <w:top w:w="0" w:type="dxa"/>
            <w:left w:w="0" w:type="dxa"/>
            <w:bottom w:w="0" w:type="dxa"/>
            <w:right w:w="0" w:type="dxa"/>
          </w:tblCellMar>
          <w:tblLook w:val="05E0"/>
        </w:tblPrEx>
        <w:trPr>
          <w:trHeight w:val="487"/>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论文题目（英文）</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第一篇：</w:t>
            </w:r>
            <w:r>
              <w:rPr>
                <w:rStyle w:val="any"/>
                <w:b w:val="0"/>
                <w:bCs w:val="0"/>
                <w:i w:val="0"/>
                <w:iCs w:val="0"/>
                <w:caps w:val="0"/>
                <w:smallCaps w:val="0"/>
                <w:color w:val="111111"/>
                <w:spacing w:val="8"/>
                <w:sz w:val="21"/>
                <w:szCs w:val="21"/>
              </w:rPr>
              <w:t>Progress of nanopreparation technology applied to volatile oil drug delivery systems </w:t>
            </w:r>
          </w:p>
          <w:p>
            <w:pPr>
              <w:pStyle w:val="Heading1"/>
              <w:keepNext w:val="0"/>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PMingLiU" w:eastAsia="PMingLiU" w:hAnsi="PMingLiU" w:cs="PMingLiU"/>
                <w:i w:val="0"/>
                <w:iCs w:val="0"/>
                <w:caps w:val="0"/>
                <w:smallCaps w:val="0"/>
                <w:color w:val="FF0000"/>
                <w:spacing w:val="8"/>
                <w:kern w:val="36"/>
                <w:sz w:val="21"/>
                <w:szCs w:val="21"/>
              </w:rPr>
              <w:t>第二篇：</w:t>
            </w:r>
            <w:r>
              <w:rPr>
                <w:rStyle w:val="any"/>
                <w:rFonts w:ascii="Times New Roman" w:hAnsi="Times New Roman" w:cs="Times New Roman"/>
                <w:b w:val="0"/>
                <w:bCs w:val="0"/>
                <w:i w:val="0"/>
                <w:iCs w:val="0"/>
                <w:caps w:val="0"/>
                <w:smallCaps w:val="0"/>
                <w:color w:val="111111"/>
                <w:spacing w:val="8"/>
                <w:kern w:val="36"/>
                <w:sz w:val="21"/>
                <w:szCs w:val="21"/>
              </w:rPr>
              <w:t>Effect of lorecivivint on osteoarthritis: A systematic review and meta-analysis </w:t>
            </w:r>
            <w:r>
              <w:rPr>
                <w:rStyle w:val="any"/>
                <w:rFonts w:ascii="Times New Roman" w:eastAsia="Times New Roman" w:hAnsi="Times New Roman" w:cs="Times New Roman"/>
                <w:b w:val="0"/>
                <w:bCs w:val="0"/>
                <w:i w:val="0"/>
                <w:iCs w:val="0"/>
                <w:smallCaps w:val="0"/>
                <w:color w:val="000000"/>
                <w:spacing w:val="8"/>
                <w:kern w:val="36"/>
                <w:sz w:val="24"/>
                <w:szCs w:val="24"/>
              </w:rPr>
              <w:t>        </w:t>
            </w:r>
          </w:p>
          <w:p>
            <w:pPr>
              <w:pStyle w:val="Heading1"/>
              <w:keepNext w:val="0"/>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PMingLiU" w:eastAsia="PMingLiU" w:hAnsi="PMingLiU" w:cs="PMingLiU"/>
                <w:i w:val="0"/>
                <w:iCs w:val="0"/>
                <w:caps w:val="0"/>
                <w:smallCaps w:val="0"/>
                <w:color w:val="FF0000"/>
                <w:spacing w:val="8"/>
                <w:kern w:val="36"/>
                <w:sz w:val="21"/>
                <w:szCs w:val="21"/>
              </w:rPr>
              <w:t>第三篇：</w:t>
            </w:r>
            <w:r>
              <w:rPr>
                <w:rStyle w:val="any"/>
                <w:rFonts w:ascii="Times New Roman" w:hAnsi="Times New Roman" w:cs="Times New Roman"/>
                <w:b w:val="0"/>
                <w:bCs w:val="0"/>
                <w:i w:val="0"/>
                <w:iCs w:val="0"/>
                <w:caps w:val="0"/>
                <w:smallCaps w:val="0"/>
                <w:color w:val="111111"/>
                <w:spacing w:val="8"/>
                <w:kern w:val="36"/>
                <w:sz w:val="21"/>
                <w:szCs w:val="21"/>
              </w:rPr>
              <w:t>HOXC6: A promising biomarker linked to an immunoevasive microenvironment in colorectal cancer based on TCGA analysis and cohort validation </w:t>
            </w:r>
            <w:r>
              <w:rPr>
                <w:rStyle w:val="any"/>
                <w:rFonts w:ascii="Times New Roman" w:eastAsia="Times New Roman" w:hAnsi="Times New Roman" w:cs="Times New Roman"/>
                <w:b w:val="0"/>
                <w:bCs w:val="0"/>
                <w:i w:val="0"/>
                <w:iCs w:val="0"/>
                <w:smallCaps w:val="0"/>
                <w:color w:val="000000"/>
                <w:spacing w:val="8"/>
                <w:kern w:val="36"/>
                <w:sz w:val="24"/>
                <w:szCs w:val="24"/>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第四篇：</w:t>
            </w:r>
            <w:r>
              <w:rPr>
                <w:rStyle w:val="any"/>
                <w:b w:val="0"/>
                <w:bCs w:val="0"/>
                <w:i w:val="0"/>
                <w:iCs w:val="0"/>
                <w:caps w:val="0"/>
                <w:smallCaps w:val="0"/>
                <w:color w:val="111111"/>
                <w:spacing w:val="8"/>
                <w:sz w:val="21"/>
                <w:szCs w:val="21"/>
              </w:rPr>
              <w:t>Assessing environmental suitability of Ligusticum chuanxiong based on ecological analyses with chemical and molecular verification </w:t>
            </w:r>
          </w:p>
          <w:p>
            <w:pPr>
              <w:pStyle w:val="Heading1"/>
              <w:keepNext w:val="0"/>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PMingLiU" w:eastAsia="PMingLiU" w:hAnsi="PMingLiU" w:cs="PMingLiU"/>
                <w:i w:val="0"/>
                <w:iCs w:val="0"/>
                <w:caps w:val="0"/>
                <w:smallCaps w:val="0"/>
                <w:color w:val="FF0000"/>
                <w:spacing w:val="8"/>
                <w:kern w:val="36"/>
                <w:sz w:val="21"/>
                <w:szCs w:val="21"/>
              </w:rPr>
              <w:t>第五篇：</w:t>
            </w:r>
            <w:r>
              <w:rPr>
                <w:rStyle w:val="any"/>
                <w:rFonts w:ascii="Times New Roman" w:hAnsi="Times New Roman" w:cs="Times New Roman"/>
                <w:b w:val="0"/>
                <w:bCs w:val="0"/>
                <w:i w:val="0"/>
                <w:iCs w:val="0"/>
                <w:caps w:val="0"/>
                <w:smallCaps w:val="0"/>
                <w:color w:val="111111"/>
                <w:spacing w:val="8"/>
                <w:kern w:val="36"/>
                <w:sz w:val="21"/>
                <w:szCs w:val="21"/>
              </w:rPr>
              <w:t>Pancreatic mucinous adenocarcinoma has different clinical characteristics and better prognosis compared to non-specific PDAC: A retrospective observational study </w:t>
            </w:r>
            <w:r>
              <w:rPr>
                <w:rStyle w:val="any"/>
                <w:rFonts w:ascii="Times New Roman" w:eastAsia="Times New Roman" w:hAnsi="Times New Roman" w:cs="Times New Roman"/>
                <w:b w:val="0"/>
                <w:bCs w:val="0"/>
                <w:i w:val="0"/>
                <w:iCs w:val="0"/>
                <w:smallCaps w:val="0"/>
                <w:color w:val="000000"/>
                <w:spacing w:val="8"/>
                <w:kern w:val="36"/>
                <w:sz w:val="24"/>
                <w:szCs w:val="24"/>
              </w:rPr>
              <w:t>        </w:t>
            </w:r>
          </w:p>
          <w:p>
            <w:pPr>
              <w:pStyle w:val="Heading1"/>
              <w:keepNext w:val="0"/>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PMingLiU" w:eastAsia="PMingLiU" w:hAnsi="PMingLiU" w:cs="PMingLiU"/>
                <w:i w:val="0"/>
                <w:iCs w:val="0"/>
                <w:caps w:val="0"/>
                <w:smallCaps w:val="0"/>
                <w:color w:val="FF0000"/>
                <w:spacing w:val="8"/>
                <w:kern w:val="36"/>
                <w:sz w:val="21"/>
                <w:szCs w:val="21"/>
              </w:rPr>
              <w:t>第六篇：</w:t>
            </w:r>
            <w:r>
              <w:rPr>
                <w:rStyle w:val="any"/>
                <w:rFonts w:ascii="Times New Roman" w:hAnsi="Times New Roman" w:cs="Times New Roman"/>
                <w:b w:val="0"/>
                <w:bCs w:val="0"/>
                <w:i w:val="0"/>
                <w:iCs w:val="0"/>
                <w:caps w:val="0"/>
                <w:smallCaps w:val="0"/>
                <w:color w:val="111111"/>
                <w:spacing w:val="8"/>
                <w:kern w:val="36"/>
                <w:sz w:val="21"/>
                <w:szCs w:val="21"/>
              </w:rPr>
              <w:t>G-quadruplex formation within the promoter region of HSPB2 and its effect on transcription </w:t>
            </w:r>
            <w:r>
              <w:rPr>
                <w:rStyle w:val="any"/>
                <w:rFonts w:ascii="Times New Roman" w:eastAsia="Times New Roman" w:hAnsi="Times New Roman" w:cs="Times New Roman"/>
                <w:b w:val="0"/>
                <w:bCs w:val="0"/>
                <w:i w:val="0"/>
                <w:iCs w:val="0"/>
                <w:smallCaps w:val="0"/>
                <w:color w:val="000000"/>
                <w:spacing w:val="8"/>
                <w:kern w:val="36"/>
                <w:sz w:val="24"/>
                <w:szCs w:val="24"/>
              </w:rPr>
              <w:t>        </w:t>
            </w:r>
          </w:p>
          <w:p>
            <w:pPr>
              <w:pStyle w:val="Heading1"/>
              <w:keepNext w:val="0"/>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PMingLiU" w:eastAsia="PMingLiU" w:hAnsi="PMingLiU" w:cs="PMingLiU"/>
                <w:i w:val="0"/>
                <w:iCs w:val="0"/>
                <w:caps w:val="0"/>
                <w:smallCaps w:val="0"/>
                <w:color w:val="FF0000"/>
                <w:spacing w:val="8"/>
                <w:kern w:val="36"/>
                <w:sz w:val="21"/>
                <w:szCs w:val="21"/>
              </w:rPr>
              <w:t>第七篇：</w:t>
            </w:r>
            <w:r>
              <w:rPr>
                <w:rStyle w:val="any"/>
                <w:rFonts w:ascii="Times New Roman" w:hAnsi="Times New Roman" w:cs="Times New Roman"/>
                <w:b w:val="0"/>
                <w:bCs w:val="0"/>
                <w:i w:val="0"/>
                <w:iCs w:val="0"/>
                <w:caps w:val="0"/>
                <w:smallCaps w:val="0"/>
                <w:color w:val="111111"/>
                <w:spacing w:val="8"/>
                <w:kern w:val="36"/>
                <w:sz w:val="21"/>
                <w:szCs w:val="21"/>
              </w:rPr>
              <w:t>Non-negative matrix factorization model-based construction for molecular clustering and prognostic assessment of head and neck squamous carcinoma </w:t>
            </w:r>
            <w:r>
              <w:rPr>
                <w:rStyle w:val="any"/>
                <w:rFonts w:ascii="Times New Roman" w:eastAsia="Times New Roman" w:hAnsi="Times New Roman" w:cs="Times New Roman"/>
                <w:b w:val="0"/>
                <w:bCs w:val="0"/>
                <w:i w:val="0"/>
                <w:iCs w:val="0"/>
                <w:smallCaps w:val="0"/>
                <w:color w:val="000000"/>
                <w:spacing w:val="8"/>
                <w:kern w:val="36"/>
                <w:sz w:val="24"/>
                <w:szCs w:val="24"/>
              </w:rPr>
              <w:t>        </w:t>
            </w:r>
          </w:p>
        </w:tc>
      </w:tr>
      <w:tr>
        <w:tblPrEx>
          <w:tblW w:w="5000" w:type="pct"/>
          <w:tblInd w:w="455" w:type="dxa"/>
          <w:tblCellMar>
            <w:top w:w="0" w:type="dxa"/>
            <w:left w:w="0" w:type="dxa"/>
            <w:bottom w:w="0" w:type="dxa"/>
            <w:right w:w="0" w:type="dxa"/>
          </w:tblCellMar>
          <w:tblLook w:val="05E0"/>
        </w:tblPrEx>
        <w:trPr>
          <w:trHeight w:val="438"/>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论文题目（中文）</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第一篇：</w:t>
            </w:r>
            <w:r>
              <w:rPr>
                <w:rStyle w:val="any"/>
                <w:rFonts w:ascii="PMingLiU" w:eastAsia="PMingLiU" w:hAnsi="PMingLiU" w:cs="PMingLiU"/>
                <w:b w:val="0"/>
                <w:bCs w:val="0"/>
                <w:i w:val="0"/>
                <w:iCs w:val="0"/>
                <w:caps w:val="0"/>
                <w:smallCaps w:val="0"/>
                <w:color w:val="111111"/>
                <w:spacing w:val="8"/>
                <w:sz w:val="23"/>
                <w:szCs w:val="23"/>
              </w:rPr>
              <w:t>纳米备技术在挥发油给药系统中的应用进展</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第二篇：</w:t>
            </w:r>
            <w:r>
              <w:rPr>
                <w:rStyle w:val="any"/>
                <w:rFonts w:ascii="Tahoma" w:eastAsia="Tahoma" w:hAnsi="Tahoma" w:cs="Tahoma"/>
                <w:b w:val="0"/>
                <w:bCs w:val="0"/>
                <w:i w:val="0"/>
                <w:iCs w:val="0"/>
                <w:caps w:val="0"/>
                <w:smallCaps w:val="0"/>
                <w:color w:val="111111"/>
                <w:spacing w:val="8"/>
                <w:sz w:val="23"/>
                <w:szCs w:val="23"/>
              </w:rPr>
              <w:t>lorecivint</w:t>
            </w:r>
            <w:r>
              <w:rPr>
                <w:rStyle w:val="any"/>
                <w:rFonts w:ascii="PMingLiU" w:eastAsia="PMingLiU" w:hAnsi="PMingLiU" w:cs="PMingLiU"/>
                <w:b w:val="0"/>
                <w:bCs w:val="0"/>
                <w:i w:val="0"/>
                <w:iCs w:val="0"/>
                <w:caps w:val="0"/>
                <w:smallCaps w:val="0"/>
                <w:color w:val="111111"/>
                <w:spacing w:val="8"/>
                <w:sz w:val="23"/>
                <w:szCs w:val="23"/>
              </w:rPr>
              <w:t>治疗骨关节炎的系统评价和荟萃分析</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第三篇：</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：基于</w:t>
            </w:r>
            <w:r>
              <w:rPr>
                <w:rStyle w:val="any"/>
                <w:rFonts w:ascii="Tahoma" w:eastAsia="Tahoma" w:hAnsi="Tahoma" w:cs="Tahoma"/>
                <w:b w:val="0"/>
                <w:bCs w:val="0"/>
                <w:i w:val="0"/>
                <w:iCs w:val="0"/>
                <w:caps w:val="0"/>
                <w:smallCaps w:val="0"/>
                <w:color w:val="111111"/>
                <w:spacing w:val="8"/>
                <w:sz w:val="23"/>
                <w:szCs w:val="23"/>
              </w:rPr>
              <w:t>TCGA</w:t>
            </w:r>
            <w:r>
              <w:rPr>
                <w:rStyle w:val="any"/>
                <w:rFonts w:ascii="PMingLiU" w:eastAsia="PMingLiU" w:hAnsi="PMingLiU" w:cs="PMingLiU"/>
                <w:b w:val="0"/>
                <w:bCs w:val="0"/>
                <w:i w:val="0"/>
                <w:iCs w:val="0"/>
                <w:caps w:val="0"/>
                <w:smallCaps w:val="0"/>
                <w:color w:val="111111"/>
                <w:spacing w:val="8"/>
                <w:sz w:val="23"/>
                <w:szCs w:val="23"/>
              </w:rPr>
              <w:t>分析和队列验证的与癌症免疫逃避微环境相关的有前景的生物标志物</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第四篇：</w:t>
            </w:r>
            <w:r>
              <w:rPr>
                <w:rStyle w:val="any"/>
                <w:rFonts w:ascii="PMingLiU" w:eastAsia="PMingLiU" w:hAnsi="PMingLiU" w:cs="PMingLiU"/>
                <w:b w:val="0"/>
                <w:bCs w:val="0"/>
                <w:i w:val="0"/>
                <w:iCs w:val="0"/>
                <w:caps w:val="0"/>
                <w:smallCaps w:val="0"/>
                <w:color w:val="111111"/>
                <w:spacing w:val="8"/>
                <w:sz w:val="23"/>
                <w:szCs w:val="23"/>
              </w:rPr>
              <w:t>基于化学和分子验证的生态分析评估川芎的环境适宜性</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第五篇：</w:t>
            </w:r>
            <w:r>
              <w:rPr>
                <w:rStyle w:val="any"/>
                <w:rFonts w:ascii="PMingLiU" w:eastAsia="PMingLiU" w:hAnsi="PMingLiU" w:cs="PMingLiU"/>
                <w:b w:val="0"/>
                <w:bCs w:val="0"/>
                <w:i w:val="0"/>
                <w:iCs w:val="0"/>
                <w:caps w:val="0"/>
                <w:smallCaps w:val="0"/>
                <w:color w:val="111111"/>
                <w:spacing w:val="8"/>
                <w:sz w:val="23"/>
                <w:szCs w:val="23"/>
              </w:rPr>
              <w:t>胰腺粘液腺癌与非特异性</w:t>
            </w:r>
            <w:r>
              <w:rPr>
                <w:rStyle w:val="any"/>
                <w:rFonts w:ascii="Tahoma" w:eastAsia="Tahoma" w:hAnsi="Tahoma" w:cs="Tahoma"/>
                <w:b w:val="0"/>
                <w:bCs w:val="0"/>
                <w:i w:val="0"/>
                <w:iCs w:val="0"/>
                <w:caps w:val="0"/>
                <w:smallCaps w:val="0"/>
                <w:color w:val="111111"/>
                <w:spacing w:val="8"/>
                <w:sz w:val="23"/>
                <w:szCs w:val="23"/>
              </w:rPr>
              <w:t>PDAC</w:t>
            </w:r>
            <w:r>
              <w:rPr>
                <w:rStyle w:val="any"/>
                <w:rFonts w:ascii="PMingLiU" w:eastAsia="PMingLiU" w:hAnsi="PMingLiU" w:cs="PMingLiU"/>
                <w:b w:val="0"/>
                <w:bCs w:val="0"/>
                <w:i w:val="0"/>
                <w:iCs w:val="0"/>
                <w:caps w:val="0"/>
                <w:smallCaps w:val="0"/>
                <w:color w:val="111111"/>
                <w:spacing w:val="8"/>
                <w:sz w:val="23"/>
                <w:szCs w:val="23"/>
              </w:rPr>
              <w:t>相比具有不同的临床特征和更好的预后：一项回顾性观察研究</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第六篇：</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启动子区</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四链体的形成及其对转录的影响</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第七篇：</w:t>
            </w:r>
            <w:r>
              <w:rPr>
                <w:rStyle w:val="any"/>
                <w:rFonts w:ascii="PMingLiU" w:eastAsia="PMingLiU" w:hAnsi="PMingLiU" w:cs="PMingLiU"/>
                <w:b w:val="0"/>
                <w:bCs w:val="0"/>
                <w:i w:val="0"/>
                <w:iCs w:val="0"/>
                <w:caps w:val="0"/>
                <w:smallCaps w:val="0"/>
                <w:color w:val="111111"/>
                <w:spacing w:val="8"/>
                <w:sz w:val="23"/>
                <w:szCs w:val="23"/>
              </w:rPr>
              <w:t>基于非负矩阵因子分解模型的头颈部鳞状细胞癌分子聚类和预后评估构建</w:t>
            </w:r>
          </w:p>
        </w:tc>
      </w:tr>
      <w:tr>
        <w:tblPrEx>
          <w:tblW w:w="5000" w:type="pct"/>
          <w:tblInd w:w="455" w:type="dxa"/>
          <w:tblCellMar>
            <w:top w:w="0" w:type="dxa"/>
            <w:left w:w="0" w:type="dxa"/>
            <w:bottom w:w="0" w:type="dxa"/>
            <w:right w:w="0" w:type="dxa"/>
          </w:tblCellMar>
          <w:tblLook w:val="05E0"/>
        </w:tblPrEx>
        <w:trPr>
          <w:trHeight w:val="6043"/>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论文内容概要</w:t>
            </w:r>
            <w:r>
              <w:rPr>
                <w:rStyle w:val="any"/>
                <w:rFonts w:ascii="Calibri" w:eastAsia="Calibri" w:hAnsi="Calibri" w:cs="Calibri"/>
                <w:b w:val="0"/>
                <w:bCs w:val="0"/>
                <w:i w:val="0"/>
                <w:iCs w:val="0"/>
                <w:smallCaps w:val="0"/>
                <w:color w:val="000000"/>
                <w:spacing w:val="8"/>
              </w:rPr>
              <w:t>        </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第一篇：</w:t>
            </w:r>
            <w:r>
              <w:rPr>
                <w:rStyle w:val="any"/>
                <w:rFonts w:ascii="PMingLiU" w:eastAsia="PMingLiU" w:hAnsi="PMingLiU" w:cs="PMingLiU"/>
                <w:b w:val="0"/>
                <w:bCs w:val="0"/>
                <w:i w:val="0"/>
                <w:iCs w:val="0"/>
                <w:caps w:val="0"/>
                <w:smallCaps w:val="0"/>
                <w:color w:val="111111"/>
                <w:spacing w:val="8"/>
                <w:sz w:val="21"/>
                <w:szCs w:val="21"/>
              </w:rPr>
              <w:t>中药挥发油历史悠久，具有广泛的药理活性。然而，挥发油具有挥发性强、水溶性差、生物利用度低、靶向性差等特点，这限制了它们的应用。使用挥发油纳米给药系统可以有效改善挥发油的缺点，提高其生物利用度和化学稳定性，降低其挥发性和毒性。本文首先介绍了中药挥发油成分的局限性，讨论了挥发油纳米制剂的主要分类和最新进展，并简要介绍了中药挥发油纳米制剂的制备方法。其次，讨论了纳米配方技术的局限性，以及未来的挑战和前景。深入了解纳米技术在中药挥发油中的作用，将有助于挥发油的现代化，拓宽其应用价值。</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第二篇：</w:t>
            </w:r>
            <w:r>
              <w:rPr>
                <w:rStyle w:val="any"/>
                <w:rFonts w:ascii="PMingLiU" w:eastAsia="PMingLiU" w:hAnsi="PMingLiU" w:cs="PMingLiU"/>
                <w:b w:val="0"/>
                <w:bCs w:val="0"/>
                <w:i w:val="0"/>
                <w:iCs w:val="0"/>
                <w:caps w:val="0"/>
                <w:smallCaps w:val="0"/>
                <w:color w:val="111111"/>
                <w:spacing w:val="8"/>
                <w:sz w:val="23"/>
                <w:szCs w:val="23"/>
              </w:rPr>
              <w:t>目的：通过荟萃分析综合评价氯雷西韦抑制剂治疗骨关节炎的有效性和安全性。方法：截至</w:t>
            </w:r>
            <w:r>
              <w:rPr>
                <w:rStyle w:val="any"/>
                <w:rFonts w:ascii="Tahoma" w:eastAsia="Tahoma" w:hAnsi="Tahoma" w:cs="Tahoma"/>
                <w:b w:val="0"/>
                <w:bCs w:val="0"/>
                <w:i w:val="0"/>
                <w:iCs w:val="0"/>
                <w:caps w:val="0"/>
                <w:smallCaps w:val="0"/>
                <w:color w:val="111111"/>
                <w:spacing w:val="8"/>
                <w:sz w:val="23"/>
                <w:szCs w:val="23"/>
              </w:rPr>
              <w:t>2022</w:t>
            </w:r>
            <w:r>
              <w:rPr>
                <w:rStyle w:val="any"/>
                <w:rFonts w:ascii="PMingLiU" w:eastAsia="PMingLiU" w:hAnsi="PMingLiU" w:cs="PMingLiU"/>
                <w:b w:val="0"/>
                <w:bCs w:val="0"/>
                <w:i w:val="0"/>
                <w:iCs w:val="0"/>
                <w:caps w:val="0"/>
                <w:smallCaps w:val="0"/>
                <w:color w:val="111111"/>
                <w:spacing w:val="8"/>
                <w:sz w:val="23"/>
                <w:szCs w:val="23"/>
              </w:rPr>
              <w:t>年</w:t>
            </w:r>
            <w:r>
              <w:rPr>
                <w:rStyle w:val="any"/>
                <w:rFonts w:ascii="Tahoma" w:eastAsia="Tahoma" w:hAnsi="Tahoma" w:cs="Tahoma"/>
                <w:b w:val="0"/>
                <w:bCs w:val="0"/>
                <w:i w:val="0"/>
                <w:iCs w:val="0"/>
                <w:caps w:val="0"/>
                <w:smallCaps w:val="0"/>
                <w:color w:val="111111"/>
                <w:spacing w:val="8"/>
                <w:sz w:val="23"/>
                <w:szCs w:val="23"/>
              </w:rPr>
              <w:t>7</w:t>
            </w:r>
            <w:r>
              <w:rPr>
                <w:rStyle w:val="any"/>
                <w:rFonts w:ascii="PMingLiU" w:eastAsia="PMingLiU" w:hAnsi="PMingLiU" w:cs="PMingLiU"/>
                <w:b w:val="0"/>
                <w:bCs w:val="0"/>
                <w:i w:val="0"/>
                <w:iCs w:val="0"/>
                <w:caps w:val="0"/>
                <w:smallCaps w:val="0"/>
                <w:color w:val="111111"/>
                <w:spacing w:val="8"/>
                <w:sz w:val="23"/>
                <w:szCs w:val="23"/>
              </w:rPr>
              <w:t>月</w:t>
            </w:r>
            <w:r>
              <w:rPr>
                <w:rStyle w:val="any"/>
                <w:rFonts w:ascii="Tahoma" w:eastAsia="Tahoma" w:hAnsi="Tahoma" w:cs="Tahoma"/>
                <w:b w:val="0"/>
                <w:bCs w:val="0"/>
                <w:i w:val="0"/>
                <w:iCs w:val="0"/>
                <w:caps w:val="0"/>
                <w:smallCaps w:val="0"/>
                <w:color w:val="111111"/>
                <w:spacing w:val="8"/>
                <w:sz w:val="23"/>
                <w:szCs w:val="23"/>
              </w:rPr>
              <w:t>30</w:t>
            </w:r>
            <w:r>
              <w:rPr>
                <w:rStyle w:val="any"/>
                <w:rFonts w:ascii="PMingLiU" w:eastAsia="PMingLiU" w:hAnsi="PMingLiU" w:cs="PMingLiU"/>
                <w:b w:val="0"/>
                <w:bCs w:val="0"/>
                <w:i w:val="0"/>
                <w:iCs w:val="0"/>
                <w:caps w:val="0"/>
                <w:smallCaps w:val="0"/>
                <w:color w:val="111111"/>
                <w:spacing w:val="8"/>
                <w:sz w:val="23"/>
                <w:szCs w:val="23"/>
              </w:rPr>
              <w:t>日，使用</w:t>
            </w:r>
            <w:r>
              <w:rPr>
                <w:rStyle w:val="any"/>
                <w:rFonts w:ascii="Tahoma" w:eastAsia="Tahoma" w:hAnsi="Tahoma" w:cs="Tahoma"/>
                <w:b w:val="0"/>
                <w:bCs w:val="0"/>
                <w:i w:val="0"/>
                <w:iCs w:val="0"/>
                <w:caps w:val="0"/>
                <w:smallCaps w:val="0"/>
                <w:color w:val="111111"/>
                <w:spacing w:val="8"/>
                <w:sz w:val="23"/>
                <w:szCs w:val="23"/>
              </w:rPr>
              <w:t>PubMed</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Embase</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Web of Science</w:t>
            </w:r>
            <w:r>
              <w:rPr>
                <w:rStyle w:val="any"/>
                <w:rFonts w:ascii="PMingLiU" w:eastAsia="PMingLiU" w:hAnsi="PMingLiU" w:cs="PMingLiU"/>
                <w:b w:val="0"/>
                <w:bCs w:val="0"/>
                <w:i w:val="0"/>
                <w:iCs w:val="0"/>
                <w:caps w:val="0"/>
                <w:smallCaps w:val="0"/>
                <w:color w:val="111111"/>
                <w:spacing w:val="8"/>
                <w:sz w:val="23"/>
                <w:szCs w:val="23"/>
              </w:rPr>
              <w:t>和</w:t>
            </w:r>
            <w:r>
              <w:rPr>
                <w:rStyle w:val="any"/>
                <w:rFonts w:ascii="Tahoma" w:eastAsia="Tahoma" w:hAnsi="Tahoma" w:cs="Tahoma"/>
                <w:b w:val="0"/>
                <w:bCs w:val="0"/>
                <w:i w:val="0"/>
                <w:iCs w:val="0"/>
                <w:caps w:val="0"/>
                <w:smallCaps w:val="0"/>
                <w:color w:val="111111"/>
                <w:spacing w:val="8"/>
                <w:sz w:val="23"/>
                <w:szCs w:val="23"/>
              </w:rPr>
              <w:t>CochraneLibrary</w:t>
            </w:r>
            <w:r>
              <w:rPr>
                <w:rStyle w:val="any"/>
                <w:rFonts w:ascii="PMingLiU" w:eastAsia="PMingLiU" w:hAnsi="PMingLiU" w:cs="PMingLiU"/>
                <w:b w:val="0"/>
                <w:bCs w:val="0"/>
                <w:i w:val="0"/>
                <w:iCs w:val="0"/>
                <w:caps w:val="0"/>
                <w:smallCaps w:val="0"/>
                <w:color w:val="111111"/>
                <w:spacing w:val="8"/>
                <w:sz w:val="23"/>
                <w:szCs w:val="23"/>
              </w:rPr>
              <w:t>等电子数据库对</w:t>
            </w:r>
            <w:r>
              <w:rPr>
                <w:rStyle w:val="any"/>
                <w:rFonts w:ascii="Tahoma" w:eastAsia="Tahoma" w:hAnsi="Tahoma" w:cs="Tahoma"/>
                <w:b w:val="0"/>
                <w:bCs w:val="0"/>
                <w:i w:val="0"/>
                <w:iCs w:val="0"/>
                <w:caps w:val="0"/>
                <w:smallCaps w:val="0"/>
                <w:color w:val="111111"/>
                <w:spacing w:val="8"/>
                <w:sz w:val="23"/>
                <w:szCs w:val="23"/>
              </w:rPr>
              <w:t>lorecivint</w:t>
            </w:r>
            <w:r>
              <w:rPr>
                <w:rStyle w:val="any"/>
                <w:rFonts w:ascii="PMingLiU" w:eastAsia="PMingLiU" w:hAnsi="PMingLiU" w:cs="PMingLiU"/>
                <w:b w:val="0"/>
                <w:bCs w:val="0"/>
                <w:i w:val="0"/>
                <w:iCs w:val="0"/>
                <w:caps w:val="0"/>
                <w:smallCaps w:val="0"/>
                <w:color w:val="111111"/>
                <w:spacing w:val="8"/>
                <w:sz w:val="23"/>
                <w:szCs w:val="23"/>
              </w:rPr>
              <w:t>抑制剂在骨关节炎中的应用进行了全面的文献检索。两名审查员独立筛选、评估和审查了符合条件的研究。使用</w:t>
            </w:r>
            <w:r>
              <w:rPr>
                <w:rStyle w:val="any"/>
                <w:rFonts w:ascii="Tahoma" w:eastAsia="Tahoma" w:hAnsi="Tahoma" w:cs="Tahoma"/>
                <w:b w:val="0"/>
                <w:bCs w:val="0"/>
                <w:i w:val="0"/>
                <w:iCs w:val="0"/>
                <w:caps w:val="0"/>
                <w:smallCaps w:val="0"/>
                <w:color w:val="111111"/>
                <w:spacing w:val="8"/>
                <w:sz w:val="23"/>
                <w:szCs w:val="23"/>
              </w:rPr>
              <w:t>RevMan 5.4</w:t>
            </w:r>
            <w:r>
              <w:rPr>
                <w:rStyle w:val="any"/>
                <w:rFonts w:ascii="PMingLiU" w:eastAsia="PMingLiU" w:hAnsi="PMingLiU" w:cs="PMingLiU"/>
                <w:b w:val="0"/>
                <w:bCs w:val="0"/>
                <w:i w:val="0"/>
                <w:iCs w:val="0"/>
                <w:caps w:val="0"/>
                <w:smallCaps w:val="0"/>
                <w:color w:val="111111"/>
                <w:spacing w:val="8"/>
                <w:sz w:val="23"/>
                <w:szCs w:val="23"/>
              </w:rPr>
              <w:t>软件进行数据分析和处理。结果：共纳入</w:t>
            </w:r>
            <w:r>
              <w:rPr>
                <w:rStyle w:val="any"/>
                <w:rFonts w:ascii="Tahoma" w:eastAsia="Tahoma" w:hAnsi="Tahoma" w:cs="Tahoma"/>
                <w:b w:val="0"/>
                <w:bCs w:val="0"/>
                <w:i w:val="0"/>
                <w:iCs w:val="0"/>
                <w:caps w:val="0"/>
                <w:smallCaps w:val="0"/>
                <w:color w:val="111111"/>
                <w:spacing w:val="8"/>
                <w:sz w:val="23"/>
                <w:szCs w:val="23"/>
              </w:rPr>
              <w:t>6</w:t>
            </w:r>
            <w:r>
              <w:rPr>
                <w:rStyle w:val="any"/>
                <w:rFonts w:ascii="PMingLiU" w:eastAsia="PMingLiU" w:hAnsi="PMingLiU" w:cs="PMingLiU"/>
                <w:b w:val="0"/>
                <w:bCs w:val="0"/>
                <w:i w:val="0"/>
                <w:iCs w:val="0"/>
                <w:caps w:val="0"/>
                <w:smallCaps w:val="0"/>
                <w:color w:val="111111"/>
                <w:spacing w:val="8"/>
                <w:sz w:val="23"/>
                <w:szCs w:val="23"/>
              </w:rPr>
              <w:t>项研究，涉及</w:t>
            </w:r>
            <w:r>
              <w:rPr>
                <w:rStyle w:val="any"/>
                <w:rFonts w:ascii="Tahoma" w:eastAsia="Tahoma" w:hAnsi="Tahoma" w:cs="Tahoma"/>
                <w:b w:val="0"/>
                <w:bCs w:val="0"/>
                <w:i w:val="0"/>
                <w:iCs w:val="0"/>
                <w:caps w:val="0"/>
                <w:smallCaps w:val="0"/>
                <w:color w:val="111111"/>
                <w:spacing w:val="8"/>
                <w:sz w:val="23"/>
                <w:szCs w:val="23"/>
              </w:rPr>
              <w:t>3056</w:t>
            </w:r>
            <w:r>
              <w:rPr>
                <w:rStyle w:val="any"/>
                <w:rFonts w:ascii="PMingLiU" w:eastAsia="PMingLiU" w:hAnsi="PMingLiU" w:cs="PMingLiU"/>
                <w:b w:val="0"/>
                <w:bCs w:val="0"/>
                <w:i w:val="0"/>
                <w:iCs w:val="0"/>
                <w:caps w:val="0"/>
                <w:smallCaps w:val="0"/>
                <w:color w:val="111111"/>
                <w:spacing w:val="8"/>
                <w:sz w:val="23"/>
                <w:szCs w:val="23"/>
              </w:rPr>
              <w:t>名参与者。荟萃分析显示，与对照组相比，洛雷西维汀显著增加了</w:t>
            </w:r>
            <w:r>
              <w:rPr>
                <w:rStyle w:val="any"/>
                <w:rFonts w:ascii="Tahoma" w:eastAsia="Tahoma" w:hAnsi="Tahoma" w:cs="Tahoma"/>
                <w:b w:val="0"/>
                <w:bCs w:val="0"/>
                <w:i w:val="0"/>
                <w:iCs w:val="0"/>
                <w:caps w:val="0"/>
                <w:smallCaps w:val="0"/>
                <w:color w:val="111111"/>
                <w:spacing w:val="8"/>
                <w:sz w:val="23"/>
                <w:szCs w:val="23"/>
              </w:rPr>
              <w:t>WOMAC</w:t>
            </w:r>
            <w:r>
              <w:rPr>
                <w:rStyle w:val="any"/>
                <w:rFonts w:ascii="PMingLiU" w:eastAsia="PMingLiU" w:hAnsi="PMingLiU" w:cs="PMingLiU"/>
                <w:b w:val="0"/>
                <w:bCs w:val="0"/>
                <w:i w:val="0"/>
                <w:iCs w:val="0"/>
                <w:caps w:val="0"/>
                <w:smallCaps w:val="0"/>
                <w:color w:val="111111"/>
                <w:spacing w:val="8"/>
                <w:sz w:val="23"/>
                <w:szCs w:val="23"/>
              </w:rPr>
              <w:t>不适（第</w:t>
            </w:r>
            <w:r>
              <w:rPr>
                <w:rStyle w:val="any"/>
                <w:rFonts w:ascii="Tahoma" w:eastAsia="Tahoma" w:hAnsi="Tahoma" w:cs="Tahoma"/>
                <w:b w:val="0"/>
                <w:bCs w:val="0"/>
                <w:i w:val="0"/>
                <w:iCs w:val="0"/>
                <w:caps w:val="0"/>
                <w:smallCaps w:val="0"/>
                <w:color w:val="111111"/>
                <w:spacing w:val="8"/>
                <w:sz w:val="23"/>
                <w:szCs w:val="23"/>
              </w:rPr>
              <w:t>12</w:t>
            </w:r>
            <w:r>
              <w:rPr>
                <w:rStyle w:val="any"/>
                <w:rFonts w:ascii="PMingLiU" w:eastAsia="PMingLiU" w:hAnsi="PMingLiU" w:cs="PMingLiU"/>
                <w:b w:val="0"/>
                <w:bCs w:val="0"/>
                <w:i w:val="0"/>
                <w:iCs w:val="0"/>
                <w:caps w:val="0"/>
                <w:smallCaps w:val="0"/>
                <w:color w:val="111111"/>
                <w:spacing w:val="8"/>
                <w:sz w:val="23"/>
                <w:szCs w:val="23"/>
              </w:rPr>
              <w:t>周</w:t>
            </w:r>
            <w:r>
              <w:rPr>
                <w:rStyle w:val="any"/>
                <w:rFonts w:ascii="Tahoma" w:eastAsia="Tahoma" w:hAnsi="Tahoma" w:cs="Tahoma"/>
                <w:b w:val="0"/>
                <w:bCs w:val="0"/>
                <w:i w:val="0"/>
                <w:iCs w:val="0"/>
                <w:caps w:val="0"/>
                <w:smallCaps w:val="0"/>
                <w:color w:val="111111"/>
                <w:spacing w:val="8"/>
                <w:sz w:val="23"/>
                <w:szCs w:val="23"/>
              </w:rPr>
              <w:t>0.03 mg</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MD=-0.21</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95%CI[-1.94-1.53]</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P=0.81</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WOMAC</w:t>
            </w:r>
            <w:r>
              <w:rPr>
                <w:rStyle w:val="any"/>
                <w:rFonts w:ascii="PMingLiU" w:eastAsia="PMingLiU" w:hAnsi="PMingLiU" w:cs="PMingLiU"/>
                <w:b w:val="0"/>
                <w:bCs w:val="0"/>
                <w:i w:val="0"/>
                <w:iCs w:val="0"/>
                <w:caps w:val="0"/>
                <w:smallCaps w:val="0"/>
                <w:color w:val="111111"/>
                <w:spacing w:val="8"/>
                <w:sz w:val="23"/>
                <w:szCs w:val="23"/>
              </w:rPr>
              <w:t>功能（第</w:t>
            </w:r>
            <w:r>
              <w:rPr>
                <w:rStyle w:val="any"/>
                <w:rFonts w:ascii="Tahoma" w:eastAsia="Tahoma" w:hAnsi="Tahoma" w:cs="Tahoma"/>
                <w:b w:val="0"/>
                <w:bCs w:val="0"/>
                <w:i w:val="0"/>
                <w:iCs w:val="0"/>
                <w:caps w:val="0"/>
                <w:smallCaps w:val="0"/>
                <w:color w:val="111111"/>
                <w:spacing w:val="8"/>
                <w:sz w:val="23"/>
                <w:szCs w:val="23"/>
              </w:rPr>
              <w:t>24</w:t>
            </w:r>
            <w:r>
              <w:rPr>
                <w:rStyle w:val="any"/>
                <w:rFonts w:ascii="PMingLiU" w:eastAsia="PMingLiU" w:hAnsi="PMingLiU" w:cs="PMingLiU"/>
                <w:b w:val="0"/>
                <w:bCs w:val="0"/>
                <w:i w:val="0"/>
                <w:iCs w:val="0"/>
                <w:caps w:val="0"/>
                <w:smallCaps w:val="0"/>
                <w:color w:val="111111"/>
                <w:spacing w:val="8"/>
                <w:sz w:val="23"/>
                <w:szCs w:val="23"/>
              </w:rPr>
              <w:t>周</w:t>
            </w:r>
            <w:r>
              <w:rPr>
                <w:rStyle w:val="any"/>
                <w:rFonts w:ascii="Tahoma" w:eastAsia="Tahoma" w:hAnsi="Tahoma" w:cs="Tahoma"/>
                <w:b w:val="0"/>
                <w:bCs w:val="0"/>
                <w:i w:val="0"/>
                <w:iCs w:val="0"/>
                <w:caps w:val="0"/>
                <w:smallCaps w:val="0"/>
                <w:color w:val="111111"/>
                <w:spacing w:val="8"/>
                <w:sz w:val="23"/>
                <w:szCs w:val="23"/>
              </w:rPr>
              <w:t>0.07 mg</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MD=-1.81</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95%CI[-4.74-1.12]</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P=0.23</w:t>
            </w:r>
            <w:r>
              <w:rPr>
                <w:rStyle w:val="any"/>
                <w:rFonts w:ascii="PMingLiU" w:eastAsia="PMingLiU" w:hAnsi="PMingLiU" w:cs="PMingLiU"/>
                <w:b w:val="0"/>
                <w:bCs w:val="0"/>
                <w:i w:val="0"/>
                <w:iCs w:val="0"/>
                <w:caps w:val="0"/>
                <w:smallCaps w:val="0"/>
                <w:color w:val="111111"/>
                <w:spacing w:val="8"/>
                <w:sz w:val="23"/>
                <w:szCs w:val="23"/>
              </w:rPr>
              <w:t>）和关节间隙宽度（第</w:t>
            </w:r>
            <w:r>
              <w:rPr>
                <w:rStyle w:val="any"/>
                <w:rFonts w:ascii="Tahoma" w:eastAsia="Tahoma" w:hAnsi="Tahoma" w:cs="Tahoma"/>
                <w:b w:val="0"/>
                <w:bCs w:val="0"/>
                <w:i w:val="0"/>
                <w:iCs w:val="0"/>
                <w:caps w:val="0"/>
                <w:smallCaps w:val="0"/>
                <w:color w:val="111111"/>
                <w:spacing w:val="8"/>
                <w:sz w:val="23"/>
                <w:szCs w:val="23"/>
              </w:rPr>
              <w:t>24</w:t>
            </w:r>
            <w:r>
              <w:rPr>
                <w:rStyle w:val="any"/>
                <w:rFonts w:ascii="PMingLiU" w:eastAsia="PMingLiU" w:hAnsi="PMingLiU" w:cs="PMingLiU"/>
                <w:b w:val="0"/>
                <w:bCs w:val="0"/>
                <w:i w:val="0"/>
                <w:iCs w:val="0"/>
                <w:caps w:val="0"/>
                <w:smallCaps w:val="0"/>
                <w:color w:val="111111"/>
                <w:spacing w:val="8"/>
                <w:sz w:val="23"/>
                <w:szCs w:val="23"/>
              </w:rPr>
              <w:t>周</w:t>
            </w:r>
            <w:r>
              <w:rPr>
                <w:rStyle w:val="any"/>
                <w:rFonts w:ascii="Tahoma" w:eastAsia="Tahoma" w:hAnsi="Tahoma" w:cs="Tahoma"/>
                <w:b w:val="0"/>
                <w:bCs w:val="0"/>
                <w:i w:val="0"/>
                <w:iCs w:val="0"/>
                <w:caps w:val="0"/>
                <w:smallCaps w:val="0"/>
                <w:color w:val="111111"/>
                <w:spacing w:val="8"/>
                <w:sz w:val="23"/>
                <w:szCs w:val="23"/>
              </w:rPr>
              <w:t>0.23 mg</w:t>
            </w:r>
            <w:r>
              <w:rPr>
                <w:rStyle w:val="any"/>
                <w:rFonts w:ascii="PMingLiU" w:eastAsia="PMingLiU" w:hAnsi="PMingLiU" w:cs="PMingLiU"/>
                <w:b w:val="0"/>
                <w:bCs w:val="0"/>
                <w:i w:val="0"/>
                <w:iCs w:val="0"/>
                <w:caps w:val="0"/>
                <w:smallCaps w:val="0"/>
                <w:color w:val="111111"/>
                <w:spacing w:val="8"/>
                <w:sz w:val="23"/>
                <w:szCs w:val="23"/>
              </w:rPr>
              <w:t>）。结论：一种结合</w:t>
            </w:r>
            <w:r>
              <w:rPr>
                <w:rStyle w:val="any"/>
                <w:rFonts w:ascii="Tahoma" w:eastAsia="Tahoma" w:hAnsi="Tahoma" w:cs="Tahoma"/>
                <w:b w:val="0"/>
                <w:bCs w:val="0"/>
                <w:i w:val="0"/>
                <w:iCs w:val="0"/>
                <w:caps w:val="0"/>
                <w:smallCaps w:val="0"/>
                <w:color w:val="111111"/>
                <w:spacing w:val="8"/>
                <w:sz w:val="23"/>
                <w:szCs w:val="23"/>
              </w:rPr>
              <w:t>Wnt</w:t>
            </w:r>
            <w:r>
              <w:rPr>
                <w:rStyle w:val="any"/>
                <w:rFonts w:ascii="PMingLiU" w:eastAsia="PMingLiU" w:hAnsi="PMingLiU" w:cs="PMingLiU"/>
                <w:b w:val="0"/>
                <w:bCs w:val="0"/>
                <w:i w:val="0"/>
                <w:iCs w:val="0"/>
                <w:caps w:val="0"/>
                <w:smallCaps w:val="0"/>
                <w:color w:val="111111"/>
                <w:spacing w:val="8"/>
                <w:sz w:val="23"/>
                <w:szCs w:val="23"/>
              </w:rPr>
              <w:t>通路调节剂和关节内</w:t>
            </w:r>
            <w:r>
              <w:rPr>
                <w:rStyle w:val="any"/>
                <w:rFonts w:ascii="Tahoma" w:eastAsia="Tahoma" w:hAnsi="Tahoma" w:cs="Tahoma"/>
                <w:b w:val="0"/>
                <w:bCs w:val="0"/>
                <w:i w:val="0"/>
                <w:iCs w:val="0"/>
                <w:caps w:val="0"/>
                <w:smallCaps w:val="0"/>
                <w:color w:val="111111"/>
                <w:spacing w:val="8"/>
                <w:sz w:val="23"/>
                <w:szCs w:val="23"/>
              </w:rPr>
              <w:t>CLK2/DYRK1A</w:t>
            </w:r>
            <w:r>
              <w:rPr>
                <w:rStyle w:val="any"/>
                <w:rFonts w:ascii="PMingLiU" w:eastAsia="PMingLiU" w:hAnsi="PMingLiU" w:cs="PMingLiU"/>
                <w:b w:val="0"/>
                <w:bCs w:val="0"/>
                <w:i w:val="0"/>
                <w:iCs w:val="0"/>
                <w:caps w:val="0"/>
                <w:smallCaps w:val="0"/>
                <w:color w:val="111111"/>
                <w:spacing w:val="8"/>
                <w:sz w:val="23"/>
                <w:szCs w:val="23"/>
              </w:rPr>
              <w:t>抑制剂的新治疗方法可能是治疗骨关节炎的有前景的疗法。发现</w:t>
            </w:r>
            <w:r>
              <w:rPr>
                <w:rStyle w:val="any"/>
                <w:rFonts w:ascii="Tahoma" w:eastAsia="Tahoma" w:hAnsi="Tahoma" w:cs="Tahoma"/>
                <w:b w:val="0"/>
                <w:bCs w:val="0"/>
                <w:i w:val="0"/>
                <w:iCs w:val="0"/>
                <w:caps w:val="0"/>
                <w:smallCaps w:val="0"/>
                <w:color w:val="111111"/>
                <w:spacing w:val="8"/>
                <w:sz w:val="23"/>
                <w:szCs w:val="23"/>
              </w:rPr>
              <w:t>Lorecivint</w:t>
            </w:r>
            <w:r>
              <w:rPr>
                <w:rStyle w:val="any"/>
                <w:rFonts w:ascii="PMingLiU" w:eastAsia="PMingLiU" w:hAnsi="PMingLiU" w:cs="PMingLiU"/>
                <w:b w:val="0"/>
                <w:bCs w:val="0"/>
                <w:i w:val="0"/>
                <w:iCs w:val="0"/>
                <w:caps w:val="0"/>
                <w:smallCaps w:val="0"/>
                <w:color w:val="111111"/>
                <w:spacing w:val="8"/>
                <w:sz w:val="23"/>
                <w:szCs w:val="23"/>
              </w:rPr>
              <w:t>可显著改善骨关节炎患者的</w:t>
            </w:r>
            <w:r>
              <w:rPr>
                <w:rStyle w:val="any"/>
                <w:rFonts w:ascii="Tahoma" w:eastAsia="Tahoma" w:hAnsi="Tahoma" w:cs="Tahoma"/>
                <w:b w:val="0"/>
                <w:bCs w:val="0"/>
                <w:i w:val="0"/>
                <w:iCs w:val="0"/>
                <w:caps w:val="0"/>
                <w:smallCaps w:val="0"/>
                <w:color w:val="111111"/>
                <w:spacing w:val="8"/>
                <w:sz w:val="23"/>
                <w:szCs w:val="23"/>
              </w:rPr>
              <w:t>WOMAC</w:t>
            </w:r>
            <w:r>
              <w:rPr>
                <w:rStyle w:val="any"/>
                <w:rFonts w:ascii="PMingLiU" w:eastAsia="PMingLiU" w:hAnsi="PMingLiU" w:cs="PMingLiU"/>
                <w:b w:val="0"/>
                <w:bCs w:val="0"/>
                <w:i w:val="0"/>
                <w:iCs w:val="0"/>
                <w:caps w:val="0"/>
                <w:smallCaps w:val="0"/>
                <w:color w:val="111111"/>
                <w:spacing w:val="8"/>
                <w:sz w:val="23"/>
                <w:szCs w:val="23"/>
              </w:rPr>
              <w:t>不适、</w:t>
            </w:r>
            <w:r>
              <w:rPr>
                <w:rStyle w:val="any"/>
                <w:rFonts w:ascii="Tahoma" w:eastAsia="Tahoma" w:hAnsi="Tahoma" w:cs="Tahoma"/>
                <w:b w:val="0"/>
                <w:bCs w:val="0"/>
                <w:i w:val="0"/>
                <w:iCs w:val="0"/>
                <w:caps w:val="0"/>
                <w:smallCaps w:val="0"/>
                <w:color w:val="111111"/>
                <w:spacing w:val="8"/>
                <w:sz w:val="23"/>
                <w:szCs w:val="23"/>
              </w:rPr>
              <w:t>WOMAC</w:t>
            </w:r>
            <w:r>
              <w:rPr>
                <w:rStyle w:val="any"/>
                <w:rFonts w:ascii="PMingLiU" w:eastAsia="PMingLiU" w:hAnsi="PMingLiU" w:cs="PMingLiU"/>
                <w:b w:val="0"/>
                <w:bCs w:val="0"/>
                <w:i w:val="0"/>
                <w:iCs w:val="0"/>
                <w:caps w:val="0"/>
                <w:smallCaps w:val="0"/>
                <w:color w:val="111111"/>
                <w:spacing w:val="8"/>
                <w:sz w:val="23"/>
                <w:szCs w:val="23"/>
              </w:rPr>
              <w:t>功能和关节间隙宽度。预计这将是一种可靠、安全、有效的骨关节炎治疗选择，具有显著的治疗效用和潜在应用。</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第三篇：</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在实体瘤的致癌作用中起着重要作用，但其在癌症（</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）患者免疫环境中的功能相关性仍不确定。我们打算利用癌症基因组图谱数据库（</w:t>
            </w:r>
            <w:r>
              <w:rPr>
                <w:rStyle w:val="any"/>
                <w:rFonts w:ascii="Tahoma" w:eastAsia="Tahoma" w:hAnsi="Tahoma" w:cs="Tahoma"/>
                <w:b w:val="0"/>
                <w:bCs w:val="0"/>
                <w:i w:val="0"/>
                <w:iCs w:val="0"/>
                <w:caps w:val="0"/>
                <w:smallCaps w:val="0"/>
                <w:color w:val="111111"/>
                <w:spacing w:val="8"/>
                <w:sz w:val="23"/>
                <w:szCs w:val="23"/>
              </w:rPr>
              <w:t>n=619</w:t>
            </w:r>
            <w:r>
              <w:rPr>
                <w:rStyle w:val="any"/>
                <w:rFonts w:ascii="PMingLiU" w:eastAsia="PMingLiU" w:hAnsi="PMingLiU" w:cs="PMingLiU"/>
                <w:b w:val="0"/>
                <w:bCs w:val="0"/>
                <w:i w:val="0"/>
                <w:iCs w:val="0"/>
                <w:caps w:val="0"/>
                <w:smallCaps w:val="0"/>
                <w:color w:val="111111"/>
                <w:spacing w:val="8"/>
                <w:sz w:val="23"/>
                <w:szCs w:val="23"/>
              </w:rPr>
              <w:t>）研究</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表达对</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患者生存结果的预测价值及其与免疫环境的相关性。在中山医院（</w:t>
            </w:r>
            <w:r>
              <w:rPr>
                <w:rStyle w:val="any"/>
                <w:rFonts w:ascii="Tahoma" w:eastAsia="Tahoma" w:hAnsi="Tahoma" w:cs="Tahoma"/>
                <w:b w:val="0"/>
                <w:bCs w:val="0"/>
                <w:i w:val="0"/>
                <w:iCs w:val="0"/>
                <w:caps w:val="0"/>
                <w:smallCaps w:val="0"/>
                <w:color w:val="111111"/>
                <w:spacing w:val="8"/>
                <w:sz w:val="23"/>
                <w:szCs w:val="23"/>
              </w:rPr>
              <w:t>n=200</w:t>
            </w:r>
            <w:r>
              <w:rPr>
                <w:rStyle w:val="any"/>
                <w:rFonts w:ascii="PMingLiU" w:eastAsia="PMingLiU" w:hAnsi="PMingLiU" w:cs="PMingLiU"/>
                <w:b w:val="0"/>
                <w:bCs w:val="0"/>
                <w:i w:val="0"/>
                <w:iCs w:val="0"/>
                <w:caps w:val="0"/>
                <w:smallCaps w:val="0"/>
                <w:color w:val="111111"/>
                <w:spacing w:val="8"/>
                <w:sz w:val="23"/>
                <w:szCs w:val="23"/>
              </w:rPr>
              <w:t>）和上海癌症中心（</w:t>
            </w:r>
            <w:r>
              <w:rPr>
                <w:rStyle w:val="any"/>
                <w:rFonts w:ascii="Tahoma" w:eastAsia="Tahoma" w:hAnsi="Tahoma" w:cs="Tahoma"/>
                <w:b w:val="0"/>
                <w:bCs w:val="0"/>
                <w:i w:val="0"/>
                <w:iCs w:val="0"/>
                <w:caps w:val="0"/>
                <w:smallCaps w:val="0"/>
                <w:color w:val="111111"/>
                <w:spacing w:val="8"/>
                <w:sz w:val="23"/>
                <w:szCs w:val="23"/>
              </w:rPr>
              <w:t>n=300</w:t>
            </w:r>
            <w:r>
              <w:rPr>
                <w:rStyle w:val="any"/>
                <w:rFonts w:ascii="PMingLiU" w:eastAsia="PMingLiU" w:hAnsi="PMingLiU" w:cs="PMingLiU"/>
                <w:b w:val="0"/>
                <w:bCs w:val="0"/>
                <w:i w:val="0"/>
                <w:iCs w:val="0"/>
                <w:caps w:val="0"/>
                <w:smallCaps w:val="0"/>
                <w:color w:val="111111"/>
                <w:spacing w:val="8"/>
                <w:sz w:val="23"/>
                <w:szCs w:val="23"/>
              </w:rPr>
              <w:t>）的队列中进行验证。采用免疫组织化学（</w:t>
            </w:r>
            <w:r>
              <w:rPr>
                <w:rStyle w:val="any"/>
                <w:rFonts w:ascii="Tahoma" w:eastAsia="Tahoma" w:hAnsi="Tahoma" w:cs="Tahoma"/>
                <w:b w:val="0"/>
                <w:bCs w:val="0"/>
                <w:i w:val="0"/>
                <w:iCs w:val="0"/>
                <w:caps w:val="0"/>
                <w:smallCaps w:val="0"/>
                <w:color w:val="111111"/>
                <w:spacing w:val="8"/>
                <w:sz w:val="23"/>
                <w:szCs w:val="23"/>
              </w:rPr>
              <w:t>IHC</w:t>
            </w:r>
            <w:r>
              <w:rPr>
                <w:rStyle w:val="any"/>
                <w:rFonts w:ascii="PMingLiU" w:eastAsia="PMingLiU" w:hAnsi="PMingLiU" w:cs="PMingLiU"/>
                <w:b w:val="0"/>
                <w:bCs w:val="0"/>
                <w:i w:val="0"/>
                <w:iCs w:val="0"/>
                <w:caps w:val="0"/>
                <w:smallCaps w:val="0"/>
                <w:color w:val="111111"/>
                <w:spacing w:val="8"/>
                <w:sz w:val="23"/>
                <w:szCs w:val="23"/>
              </w:rPr>
              <w:t>）染色比较</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高表达组和低表达组之间浸润肿瘤的免疫细胞水平。结直肠癌组织中</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表达水平升高与恶性进展和预后不良有关。</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被证实是</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患者生存的危险因素。受试者操作特征分析证实了其诊断价值，并构建了可靠的预后列线图。</w:t>
            </w:r>
            <w:r>
              <w:rPr>
                <w:rStyle w:val="any"/>
                <w:rFonts w:ascii="Tahoma" w:eastAsia="Tahoma" w:hAnsi="Tahoma" w:cs="Tahoma"/>
                <w:b w:val="0"/>
                <w:bCs w:val="0"/>
                <w:i w:val="0"/>
                <w:iCs w:val="0"/>
                <w:caps w:val="0"/>
                <w:smallCaps w:val="0"/>
                <w:color w:val="111111"/>
                <w:spacing w:val="8"/>
                <w:sz w:val="23"/>
                <w:szCs w:val="23"/>
              </w:rPr>
              <w:t>KEGG</w:t>
            </w:r>
            <w:r>
              <w:rPr>
                <w:rStyle w:val="any"/>
                <w:rFonts w:ascii="PMingLiU" w:eastAsia="PMingLiU" w:hAnsi="PMingLiU" w:cs="PMingLiU"/>
                <w:b w:val="0"/>
                <w:bCs w:val="0"/>
                <w:i w:val="0"/>
                <w:iCs w:val="0"/>
                <w:caps w:val="0"/>
                <w:smallCaps w:val="0"/>
                <w:color w:val="111111"/>
                <w:spacing w:val="8"/>
                <w:sz w:val="23"/>
                <w:szCs w:val="23"/>
              </w:rPr>
              <w:t>分析和</w:t>
            </w:r>
            <w:r>
              <w:rPr>
                <w:rStyle w:val="any"/>
                <w:rFonts w:ascii="Tahoma" w:eastAsia="Tahoma" w:hAnsi="Tahoma" w:cs="Tahoma"/>
                <w:b w:val="0"/>
                <w:bCs w:val="0"/>
                <w:i w:val="0"/>
                <w:iCs w:val="0"/>
                <w:caps w:val="0"/>
                <w:smallCaps w:val="0"/>
                <w:color w:val="111111"/>
                <w:spacing w:val="8"/>
                <w:sz w:val="23"/>
                <w:szCs w:val="23"/>
              </w:rPr>
              <w:t>GSEA</w:t>
            </w:r>
            <w:r>
              <w:rPr>
                <w:rStyle w:val="any"/>
                <w:rFonts w:ascii="PMingLiU" w:eastAsia="PMingLiU" w:hAnsi="PMingLiU" w:cs="PMingLiU"/>
                <w:b w:val="0"/>
                <w:bCs w:val="0"/>
                <w:i w:val="0"/>
                <w:iCs w:val="0"/>
                <w:caps w:val="0"/>
                <w:smallCaps w:val="0"/>
                <w:color w:val="111111"/>
                <w:spacing w:val="8"/>
                <w:sz w:val="23"/>
                <w:szCs w:val="23"/>
              </w:rPr>
              <w:t>表明</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参与免疫调节，其表达与浸润免疫细胞的丰度密切相关。在两个队列中，</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在诊断为</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的患者中上调，高</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水平与较差的预后相关。高</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表达组显示</w:t>
            </w:r>
            <w:r>
              <w:rPr>
                <w:rStyle w:val="any"/>
                <w:rFonts w:ascii="Tahoma" w:eastAsia="Tahoma" w:hAnsi="Tahoma" w:cs="Tahoma"/>
                <w:b w:val="0"/>
                <w:bCs w:val="0"/>
                <w:i w:val="0"/>
                <w:iCs w:val="0"/>
                <w:caps w:val="0"/>
                <w:smallCaps w:val="0"/>
                <w:color w:val="111111"/>
                <w:spacing w:val="8"/>
                <w:sz w:val="23"/>
                <w:szCs w:val="23"/>
              </w:rPr>
              <w:t>Treg</w:t>
            </w:r>
            <w:r>
              <w:rPr>
                <w:rStyle w:val="any"/>
                <w:rFonts w:ascii="PMingLiU" w:eastAsia="PMingLiU" w:hAnsi="PMingLiU" w:cs="PMingLiU"/>
                <w:b w:val="0"/>
                <w:bCs w:val="0"/>
                <w:i w:val="0"/>
                <w:iCs w:val="0"/>
                <w:caps w:val="0"/>
                <w:smallCaps w:val="0"/>
                <w:color w:val="111111"/>
                <w:spacing w:val="8"/>
                <w:sz w:val="23"/>
                <w:szCs w:val="23"/>
              </w:rPr>
              <w:t>细胞、</w:t>
            </w:r>
            <w:r>
              <w:rPr>
                <w:rStyle w:val="any"/>
                <w:rFonts w:ascii="Tahoma" w:eastAsia="Tahoma" w:hAnsi="Tahoma" w:cs="Tahoma"/>
                <w:b w:val="0"/>
                <w:bCs w:val="0"/>
                <w:i w:val="0"/>
                <w:iCs w:val="0"/>
                <w:caps w:val="0"/>
                <w:smallCaps w:val="0"/>
                <w:color w:val="111111"/>
                <w:spacing w:val="8"/>
                <w:sz w:val="23"/>
                <w:szCs w:val="23"/>
              </w:rPr>
              <w:t>CD68+</w:t>
            </w:r>
            <w:r>
              <w:rPr>
                <w:rStyle w:val="any"/>
                <w:rFonts w:ascii="PMingLiU" w:eastAsia="PMingLiU" w:hAnsi="PMingLiU" w:cs="PMingLiU"/>
                <w:b w:val="0"/>
                <w:bCs w:val="0"/>
                <w:i w:val="0"/>
                <w:iCs w:val="0"/>
                <w:caps w:val="0"/>
                <w:smallCaps w:val="0"/>
                <w:color w:val="111111"/>
                <w:spacing w:val="8"/>
                <w:sz w:val="23"/>
                <w:szCs w:val="23"/>
              </w:rPr>
              <w:t>巨噬细胞、</w:t>
            </w:r>
            <w:r>
              <w:rPr>
                <w:rStyle w:val="any"/>
                <w:rFonts w:ascii="Tahoma" w:eastAsia="Tahoma" w:hAnsi="Tahoma" w:cs="Tahoma"/>
                <w:b w:val="0"/>
                <w:bCs w:val="0"/>
                <w:i w:val="0"/>
                <w:iCs w:val="0"/>
                <w:caps w:val="0"/>
                <w:smallCaps w:val="0"/>
                <w:color w:val="111111"/>
                <w:spacing w:val="8"/>
                <w:sz w:val="23"/>
                <w:szCs w:val="23"/>
              </w:rPr>
              <w:t>CD66b+</w:t>
            </w:r>
            <w:r>
              <w:rPr>
                <w:rStyle w:val="any"/>
                <w:rFonts w:ascii="PMingLiU" w:eastAsia="PMingLiU" w:hAnsi="PMingLiU" w:cs="PMingLiU"/>
                <w:b w:val="0"/>
                <w:bCs w:val="0"/>
                <w:i w:val="0"/>
                <w:iCs w:val="0"/>
                <w:caps w:val="0"/>
                <w:smallCaps w:val="0"/>
                <w:color w:val="111111"/>
                <w:spacing w:val="8"/>
                <w:sz w:val="23"/>
                <w:szCs w:val="23"/>
              </w:rPr>
              <w:t>中性粒细胞和</w:t>
            </w:r>
            <w:r>
              <w:rPr>
                <w:rStyle w:val="any"/>
                <w:rFonts w:ascii="Tahoma" w:eastAsia="Tahoma" w:hAnsi="Tahoma" w:cs="Tahoma"/>
                <w:b w:val="0"/>
                <w:bCs w:val="0"/>
                <w:i w:val="0"/>
                <w:iCs w:val="0"/>
                <w:caps w:val="0"/>
                <w:smallCaps w:val="0"/>
                <w:color w:val="111111"/>
                <w:spacing w:val="8"/>
                <w:sz w:val="23"/>
                <w:szCs w:val="23"/>
              </w:rPr>
              <w:t>CD8+T</w:t>
            </w:r>
            <w:r>
              <w:rPr>
                <w:rStyle w:val="any"/>
                <w:rFonts w:ascii="PMingLiU" w:eastAsia="PMingLiU" w:hAnsi="PMingLiU" w:cs="PMingLiU"/>
                <w:b w:val="0"/>
                <w:bCs w:val="0"/>
                <w:i w:val="0"/>
                <w:iCs w:val="0"/>
                <w:caps w:val="0"/>
                <w:smallCaps w:val="0"/>
                <w:color w:val="111111"/>
                <w:spacing w:val="8"/>
                <w:sz w:val="23"/>
                <w:szCs w:val="23"/>
              </w:rPr>
              <w:t>细胞的浸润增加，</w:t>
            </w:r>
            <w:r>
              <w:rPr>
                <w:rStyle w:val="any"/>
                <w:rFonts w:ascii="Tahoma" w:eastAsia="Tahoma" w:hAnsi="Tahoma" w:cs="Tahoma"/>
                <w:b w:val="0"/>
                <w:bCs w:val="0"/>
                <w:i w:val="0"/>
                <w:iCs w:val="0"/>
                <w:caps w:val="0"/>
                <w:smallCaps w:val="0"/>
                <w:color w:val="111111"/>
                <w:spacing w:val="8"/>
                <w:sz w:val="23"/>
                <w:szCs w:val="23"/>
              </w:rPr>
              <w:t>PD-L1</w:t>
            </w:r>
            <w:r>
              <w:rPr>
                <w:rStyle w:val="any"/>
                <w:rFonts w:ascii="PMingLiU" w:eastAsia="PMingLiU" w:hAnsi="PMingLiU" w:cs="PMingLiU"/>
                <w:b w:val="0"/>
                <w:bCs w:val="0"/>
                <w:i w:val="0"/>
                <w:iCs w:val="0"/>
                <w:caps w:val="0"/>
                <w:smallCaps w:val="0"/>
                <w:color w:val="111111"/>
                <w:spacing w:val="8"/>
                <w:sz w:val="23"/>
                <w:szCs w:val="23"/>
              </w:rPr>
              <w:t>和</w:t>
            </w:r>
            <w:r>
              <w:rPr>
                <w:rStyle w:val="any"/>
                <w:rFonts w:ascii="Tahoma" w:eastAsia="Tahoma" w:hAnsi="Tahoma" w:cs="Tahoma"/>
                <w:b w:val="0"/>
                <w:bCs w:val="0"/>
                <w:i w:val="0"/>
                <w:iCs w:val="0"/>
                <w:caps w:val="0"/>
                <w:smallCaps w:val="0"/>
                <w:color w:val="111111"/>
                <w:spacing w:val="8"/>
                <w:sz w:val="23"/>
                <w:szCs w:val="23"/>
              </w:rPr>
              <w:t>PD-1</w:t>
            </w:r>
            <w:r>
              <w:rPr>
                <w:rStyle w:val="any"/>
                <w:rFonts w:ascii="PMingLiU" w:eastAsia="PMingLiU" w:hAnsi="PMingLiU" w:cs="PMingLiU"/>
                <w:b w:val="0"/>
                <w:bCs w:val="0"/>
                <w:i w:val="0"/>
                <w:iCs w:val="0"/>
                <w:caps w:val="0"/>
                <w:smallCaps w:val="0"/>
                <w:color w:val="111111"/>
                <w:spacing w:val="8"/>
                <w:sz w:val="23"/>
                <w:szCs w:val="23"/>
              </w:rPr>
              <w:t>水平升高，但颗粒酶</w:t>
            </w:r>
            <w:r>
              <w:rPr>
                <w:rStyle w:val="any"/>
                <w:rFonts w:ascii="Tahoma" w:eastAsia="Tahoma" w:hAnsi="Tahoma" w:cs="Tahoma"/>
                <w:b w:val="0"/>
                <w:bCs w:val="0"/>
                <w:i w:val="0"/>
                <w:iCs w:val="0"/>
                <w:caps w:val="0"/>
                <w:smallCaps w:val="0"/>
                <w:color w:val="111111"/>
                <w:spacing w:val="8"/>
                <w:sz w:val="23"/>
                <w:szCs w:val="23"/>
              </w:rPr>
              <w:t>B</w:t>
            </w:r>
            <w:r>
              <w:rPr>
                <w:rStyle w:val="any"/>
                <w:rFonts w:ascii="PMingLiU" w:eastAsia="PMingLiU" w:hAnsi="PMingLiU" w:cs="PMingLiU"/>
                <w:b w:val="0"/>
                <w:bCs w:val="0"/>
                <w:i w:val="0"/>
                <w:iCs w:val="0"/>
                <w:caps w:val="0"/>
                <w:smallCaps w:val="0"/>
                <w:color w:val="111111"/>
                <w:spacing w:val="8"/>
                <w:sz w:val="23"/>
                <w:szCs w:val="23"/>
              </w:rPr>
              <w:t>和穿孔素水平降低。这些发现表明，</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患者</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的丰度决定了预后不良，促进了免疫回避环境，并指导了</w:t>
            </w:r>
            <w:r>
              <w:rPr>
                <w:rStyle w:val="any"/>
                <w:rFonts w:ascii="Tahoma" w:eastAsia="Tahoma" w:hAnsi="Tahoma" w:cs="Tahoma"/>
                <w:b w:val="0"/>
                <w:bCs w:val="0"/>
                <w:i w:val="0"/>
                <w:iCs w:val="0"/>
                <w:caps w:val="0"/>
                <w:smallCaps w:val="0"/>
                <w:color w:val="111111"/>
                <w:spacing w:val="8"/>
                <w:sz w:val="23"/>
                <w:szCs w:val="23"/>
              </w:rPr>
              <w:t>CD8+T</w:t>
            </w:r>
            <w:r>
              <w:rPr>
                <w:rStyle w:val="any"/>
                <w:rFonts w:ascii="PMingLiU" w:eastAsia="PMingLiU" w:hAnsi="PMingLiU" w:cs="PMingLiU"/>
                <w:b w:val="0"/>
                <w:bCs w:val="0"/>
                <w:i w:val="0"/>
                <w:iCs w:val="0"/>
                <w:caps w:val="0"/>
                <w:smallCaps w:val="0"/>
                <w:color w:val="111111"/>
                <w:spacing w:val="8"/>
                <w:sz w:val="23"/>
                <w:szCs w:val="23"/>
              </w:rPr>
              <w:t>细胞功能障碍。</w:t>
            </w:r>
            <w:r>
              <w:rPr>
                <w:rStyle w:val="any"/>
                <w:rFonts w:ascii="Tahoma" w:eastAsia="Tahoma" w:hAnsi="Tahoma" w:cs="Tahoma"/>
                <w:b w:val="0"/>
                <w:bCs w:val="0"/>
                <w:i w:val="0"/>
                <w:iCs w:val="0"/>
                <w:caps w:val="0"/>
                <w:smallCaps w:val="0"/>
                <w:color w:val="111111"/>
                <w:spacing w:val="8"/>
                <w:sz w:val="23"/>
                <w:szCs w:val="23"/>
              </w:rPr>
              <w:t>HOXC6</w:t>
            </w:r>
            <w:r>
              <w:rPr>
                <w:rStyle w:val="any"/>
                <w:rFonts w:ascii="PMingLiU" w:eastAsia="PMingLiU" w:hAnsi="PMingLiU" w:cs="PMingLiU"/>
                <w:b w:val="0"/>
                <w:bCs w:val="0"/>
                <w:i w:val="0"/>
                <w:iCs w:val="0"/>
                <w:caps w:val="0"/>
                <w:smallCaps w:val="0"/>
                <w:color w:val="111111"/>
                <w:spacing w:val="8"/>
                <w:sz w:val="23"/>
                <w:szCs w:val="23"/>
              </w:rPr>
              <w:t>有望成为</w:t>
            </w:r>
            <w:r>
              <w:rPr>
                <w:rStyle w:val="any"/>
                <w:rFonts w:ascii="Tahoma" w:eastAsia="Tahoma" w:hAnsi="Tahoma" w:cs="Tahoma"/>
                <w:b w:val="0"/>
                <w:bCs w:val="0"/>
                <w:i w:val="0"/>
                <w:iCs w:val="0"/>
                <w:caps w:val="0"/>
                <w:smallCaps w:val="0"/>
                <w:color w:val="111111"/>
                <w:spacing w:val="8"/>
                <w:sz w:val="23"/>
                <w:szCs w:val="23"/>
              </w:rPr>
              <w:t>CRC</w:t>
            </w:r>
            <w:r>
              <w:rPr>
                <w:rStyle w:val="any"/>
                <w:rFonts w:ascii="PMingLiU" w:eastAsia="PMingLiU" w:hAnsi="PMingLiU" w:cs="PMingLiU"/>
                <w:b w:val="0"/>
                <w:bCs w:val="0"/>
                <w:i w:val="0"/>
                <w:iCs w:val="0"/>
                <w:caps w:val="0"/>
                <w:smallCaps w:val="0"/>
                <w:color w:val="111111"/>
                <w:spacing w:val="8"/>
                <w:sz w:val="23"/>
                <w:szCs w:val="23"/>
              </w:rPr>
              <w:t>结果的前瞻性生物标志物。</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第四篇：川</w:t>
            </w:r>
            <w:r>
              <w:rPr>
                <w:rStyle w:val="any"/>
                <w:rFonts w:ascii="PMingLiU" w:eastAsia="PMingLiU" w:hAnsi="PMingLiU" w:cs="PMingLiU"/>
                <w:b w:val="0"/>
                <w:bCs w:val="0"/>
                <w:i w:val="0"/>
                <w:iCs w:val="0"/>
                <w:caps w:val="0"/>
                <w:smallCaps w:val="0"/>
                <w:color w:val="111111"/>
                <w:spacing w:val="8"/>
                <w:sz w:val="21"/>
                <w:szCs w:val="21"/>
              </w:rPr>
              <w:t>芎。作为一种重要的中草药，临床上用作抗炎、抗氧化和保肝剂，在中国广泛种植。然而，对川芎的分布和影响其生长的显著环境因子的相关研究尚不充分。基于气候、地形和土壤因素，本研究预测了川芎当前和未来的分布，并分析了不同情景下的分布变化。此外，使用最大熵模型、化学分析和分子分析探索了建模中最重要的环境因素。结果表明，川芎的预测分布比以前报道的更广泛。在这些环境变量中，气候因素，特别是最冷月份的最低温度（</w:t>
            </w:r>
            <w:r>
              <w:rPr>
                <w:rStyle w:val="any"/>
                <w:rFonts w:ascii="Tahoma" w:eastAsia="Tahoma" w:hAnsi="Tahoma" w:cs="Tahoma"/>
                <w:b w:val="0"/>
                <w:bCs w:val="0"/>
                <w:i w:val="0"/>
                <w:iCs w:val="0"/>
                <w:caps w:val="0"/>
                <w:smallCaps w:val="0"/>
                <w:color w:val="111111"/>
                <w:spacing w:val="8"/>
                <w:sz w:val="21"/>
                <w:szCs w:val="21"/>
              </w:rPr>
              <w:t>Bio6</w:t>
            </w:r>
            <w:r>
              <w:rPr>
                <w:rStyle w:val="any"/>
                <w:rFonts w:ascii="PMingLiU" w:eastAsia="PMingLiU" w:hAnsi="PMingLiU" w:cs="PMingLiU"/>
                <w:b w:val="0"/>
                <w:bCs w:val="0"/>
                <w:i w:val="0"/>
                <w:iCs w:val="0"/>
                <w:caps w:val="0"/>
                <w:smallCaps w:val="0"/>
                <w:color w:val="111111"/>
                <w:spacing w:val="8"/>
                <w:sz w:val="21"/>
                <w:szCs w:val="21"/>
              </w:rPr>
              <w:t>，</w:t>
            </w:r>
            <w:r>
              <w:rPr>
                <w:rStyle w:val="any"/>
                <w:rFonts w:ascii="Tahoma" w:eastAsia="Tahoma" w:hAnsi="Tahoma" w:cs="Tahoma"/>
                <w:b w:val="0"/>
                <w:bCs w:val="0"/>
                <w:i w:val="0"/>
                <w:iCs w:val="0"/>
                <w:caps w:val="0"/>
                <w:smallCaps w:val="0"/>
                <w:color w:val="111111"/>
                <w:spacing w:val="8"/>
                <w:sz w:val="21"/>
                <w:szCs w:val="21"/>
              </w:rPr>
              <w:t>46.7%</w:t>
            </w:r>
            <w:r>
              <w:rPr>
                <w:rStyle w:val="any"/>
                <w:rFonts w:ascii="PMingLiU" w:eastAsia="PMingLiU" w:hAnsi="PMingLiU" w:cs="PMingLiU"/>
                <w:b w:val="0"/>
                <w:bCs w:val="0"/>
                <w:i w:val="0"/>
                <w:iCs w:val="0"/>
                <w:caps w:val="0"/>
                <w:smallCaps w:val="0"/>
                <w:color w:val="111111"/>
                <w:spacing w:val="8"/>
                <w:sz w:val="21"/>
                <w:szCs w:val="21"/>
              </w:rPr>
              <w:t>）和太阳辐射（</w:t>
            </w:r>
            <w:r>
              <w:rPr>
                <w:rStyle w:val="any"/>
                <w:rFonts w:ascii="Tahoma" w:eastAsia="Tahoma" w:hAnsi="Tahoma" w:cs="Tahoma"/>
                <w:b w:val="0"/>
                <w:bCs w:val="0"/>
                <w:i w:val="0"/>
                <w:iCs w:val="0"/>
                <w:caps w:val="0"/>
                <w:smallCaps w:val="0"/>
                <w:color w:val="111111"/>
                <w:spacing w:val="8"/>
                <w:sz w:val="21"/>
                <w:szCs w:val="21"/>
              </w:rPr>
              <w:t>SRAD</w:t>
            </w:r>
            <w:r>
              <w:rPr>
                <w:rStyle w:val="any"/>
                <w:rFonts w:ascii="PMingLiU" w:eastAsia="PMingLiU" w:hAnsi="PMingLiU" w:cs="PMingLiU"/>
                <w:b w:val="0"/>
                <w:bCs w:val="0"/>
                <w:i w:val="0"/>
                <w:iCs w:val="0"/>
                <w:caps w:val="0"/>
                <w:smallCaps w:val="0"/>
                <w:color w:val="111111"/>
                <w:spacing w:val="8"/>
                <w:sz w:val="21"/>
                <w:szCs w:val="21"/>
              </w:rPr>
              <w:t>，</w:t>
            </w:r>
            <w:r>
              <w:rPr>
                <w:rStyle w:val="any"/>
                <w:rFonts w:ascii="Tahoma" w:eastAsia="Tahoma" w:hAnsi="Tahoma" w:cs="Tahoma"/>
                <w:b w:val="0"/>
                <w:bCs w:val="0"/>
                <w:i w:val="0"/>
                <w:iCs w:val="0"/>
                <w:caps w:val="0"/>
                <w:smallCaps w:val="0"/>
                <w:color w:val="111111"/>
                <w:spacing w:val="8"/>
                <w:sz w:val="21"/>
                <w:szCs w:val="21"/>
              </w:rPr>
              <w:t>43.4%</w:t>
            </w:r>
            <w:r>
              <w:rPr>
                <w:rStyle w:val="any"/>
                <w:rFonts w:ascii="PMingLiU" w:eastAsia="PMingLiU" w:hAnsi="PMingLiU" w:cs="PMingLiU"/>
                <w:b w:val="0"/>
                <w:bCs w:val="0"/>
                <w:i w:val="0"/>
                <w:iCs w:val="0"/>
                <w:caps w:val="0"/>
                <w:smallCaps w:val="0"/>
                <w:color w:val="111111"/>
                <w:spacing w:val="8"/>
                <w:sz w:val="21"/>
                <w:szCs w:val="21"/>
              </w:rPr>
              <w:t>）对川芎分布的贡献大于其他因素，最佳值为</w:t>
            </w:r>
            <w:r>
              <w:rPr>
                <w:rStyle w:val="any"/>
                <w:rFonts w:ascii="Tahoma" w:eastAsia="Tahoma" w:hAnsi="Tahoma" w:cs="Tahoma"/>
                <w:b w:val="0"/>
                <w:bCs w:val="0"/>
                <w:i w:val="0"/>
                <w:iCs w:val="0"/>
                <w:caps w:val="0"/>
                <w:smallCaps w:val="0"/>
                <w:color w:val="111111"/>
                <w:spacing w:val="8"/>
                <w:sz w:val="21"/>
                <w:szCs w:val="21"/>
              </w:rPr>
              <w:t>0-1.5°C</w:t>
            </w:r>
            <w:r>
              <w:rPr>
                <w:rStyle w:val="any"/>
                <w:rFonts w:ascii="PMingLiU" w:eastAsia="PMingLiU" w:hAnsi="PMingLiU" w:cs="PMingLiU"/>
                <w:b w:val="0"/>
                <w:bCs w:val="0"/>
                <w:i w:val="0"/>
                <w:iCs w:val="0"/>
                <w:caps w:val="0"/>
                <w:smallCaps w:val="0"/>
                <w:color w:val="111111"/>
                <w:spacing w:val="8"/>
                <w:sz w:val="21"/>
                <w:szCs w:val="21"/>
              </w:rPr>
              <w:t>和</w:t>
            </w:r>
            <w:r>
              <w:rPr>
                <w:rStyle w:val="any"/>
                <w:rFonts w:ascii="Tahoma" w:eastAsia="Tahoma" w:hAnsi="Tahoma" w:cs="Tahoma"/>
                <w:b w:val="0"/>
                <w:bCs w:val="0"/>
                <w:i w:val="0"/>
                <w:iCs w:val="0"/>
                <w:caps w:val="0"/>
                <w:smallCaps w:val="0"/>
                <w:color w:val="111111"/>
                <w:spacing w:val="8"/>
                <w:sz w:val="21"/>
                <w:szCs w:val="21"/>
              </w:rPr>
              <w:t>5000-11,000 kJ/m2/</w:t>
            </w:r>
            <w:r>
              <w:rPr>
                <w:rStyle w:val="any"/>
                <w:rFonts w:ascii="PMingLiU" w:eastAsia="PMingLiU" w:hAnsi="PMingLiU" w:cs="PMingLiU"/>
                <w:b w:val="0"/>
                <w:bCs w:val="0"/>
                <w:i w:val="0"/>
                <w:iCs w:val="0"/>
                <w:caps w:val="0"/>
                <w:smallCaps w:val="0"/>
                <w:color w:val="111111"/>
                <w:spacing w:val="8"/>
                <w:sz w:val="21"/>
                <w:szCs w:val="21"/>
              </w:rPr>
              <w:t>天。未来（</w:t>
            </w:r>
            <w:r>
              <w:rPr>
                <w:rStyle w:val="any"/>
                <w:rFonts w:ascii="Tahoma" w:eastAsia="Tahoma" w:hAnsi="Tahoma" w:cs="Tahoma"/>
                <w:b w:val="0"/>
                <w:bCs w:val="0"/>
                <w:i w:val="0"/>
                <w:iCs w:val="0"/>
                <w:caps w:val="0"/>
                <w:smallCaps w:val="0"/>
                <w:color w:val="111111"/>
                <w:spacing w:val="8"/>
                <w:sz w:val="21"/>
                <w:szCs w:val="21"/>
              </w:rPr>
              <w:t>2061-2080</w:t>
            </w:r>
            <w:r>
              <w:rPr>
                <w:rStyle w:val="any"/>
                <w:rFonts w:ascii="PMingLiU" w:eastAsia="PMingLiU" w:hAnsi="PMingLiU" w:cs="PMingLiU"/>
                <w:b w:val="0"/>
                <w:bCs w:val="0"/>
                <w:i w:val="0"/>
                <w:iCs w:val="0"/>
                <w:caps w:val="0"/>
                <w:smallCaps w:val="0"/>
                <w:color w:val="111111"/>
                <w:spacing w:val="8"/>
                <w:sz w:val="21"/>
                <w:szCs w:val="21"/>
              </w:rPr>
              <w:t>年、</w:t>
            </w:r>
            <w:r>
              <w:rPr>
                <w:rStyle w:val="any"/>
                <w:rFonts w:ascii="Tahoma" w:eastAsia="Tahoma" w:hAnsi="Tahoma" w:cs="Tahoma"/>
                <w:b w:val="0"/>
                <w:bCs w:val="0"/>
                <w:i w:val="0"/>
                <w:iCs w:val="0"/>
                <w:caps w:val="0"/>
                <w:smallCaps w:val="0"/>
                <w:color w:val="111111"/>
                <w:spacing w:val="8"/>
                <w:sz w:val="21"/>
                <w:szCs w:val="21"/>
              </w:rPr>
              <w:t>2081-2100</w:t>
            </w:r>
            <w:r>
              <w:rPr>
                <w:rStyle w:val="any"/>
                <w:rFonts w:ascii="PMingLiU" w:eastAsia="PMingLiU" w:hAnsi="PMingLiU" w:cs="PMingLiU"/>
                <w:b w:val="0"/>
                <w:bCs w:val="0"/>
                <w:i w:val="0"/>
                <w:iCs w:val="0"/>
                <w:caps w:val="0"/>
                <w:smallCaps w:val="0"/>
                <w:color w:val="111111"/>
                <w:spacing w:val="8"/>
                <w:sz w:val="21"/>
                <w:szCs w:val="21"/>
              </w:rPr>
              <w:t>年），总面积和高度适宜面积分别增加</w:t>
            </w:r>
            <w:r>
              <w:rPr>
                <w:rStyle w:val="any"/>
                <w:rFonts w:ascii="Tahoma" w:eastAsia="Tahoma" w:hAnsi="Tahoma" w:cs="Tahoma"/>
                <w:b w:val="0"/>
                <w:bCs w:val="0"/>
                <w:i w:val="0"/>
                <w:iCs w:val="0"/>
                <w:caps w:val="0"/>
                <w:smallCaps w:val="0"/>
                <w:color w:val="111111"/>
                <w:spacing w:val="8"/>
                <w:sz w:val="21"/>
                <w:szCs w:val="21"/>
              </w:rPr>
              <w:t>26,788-943,820</w:t>
            </w:r>
            <w:r>
              <w:rPr>
                <w:rStyle w:val="any"/>
                <w:rFonts w:ascii="PMingLiU" w:eastAsia="PMingLiU" w:hAnsi="PMingLiU" w:cs="PMingLiU"/>
                <w:b w:val="0"/>
                <w:bCs w:val="0"/>
                <w:i w:val="0"/>
                <w:iCs w:val="0"/>
                <w:caps w:val="0"/>
                <w:smallCaps w:val="0"/>
                <w:color w:val="111111"/>
                <w:spacing w:val="8"/>
                <w:sz w:val="21"/>
                <w:szCs w:val="21"/>
              </w:rPr>
              <w:t>平方公里和</w:t>
            </w:r>
            <w:r>
              <w:rPr>
                <w:rStyle w:val="any"/>
                <w:rFonts w:ascii="Tahoma" w:eastAsia="Tahoma" w:hAnsi="Tahoma" w:cs="Tahoma"/>
                <w:b w:val="0"/>
                <w:bCs w:val="0"/>
                <w:i w:val="0"/>
                <w:iCs w:val="0"/>
                <w:caps w:val="0"/>
                <w:smallCaps w:val="0"/>
                <w:color w:val="111111"/>
                <w:spacing w:val="8"/>
                <w:sz w:val="21"/>
                <w:szCs w:val="21"/>
              </w:rPr>
              <w:t>34,757-340,417</w:t>
            </w:r>
            <w:r>
              <w:rPr>
                <w:rStyle w:val="any"/>
                <w:rFonts w:ascii="PMingLiU" w:eastAsia="PMingLiU" w:hAnsi="PMingLiU" w:cs="PMingLiU"/>
                <w:b w:val="0"/>
                <w:bCs w:val="0"/>
                <w:i w:val="0"/>
                <w:iCs w:val="0"/>
                <w:caps w:val="0"/>
                <w:smallCaps w:val="0"/>
                <w:color w:val="111111"/>
                <w:spacing w:val="8"/>
                <w:sz w:val="21"/>
                <w:szCs w:val="21"/>
              </w:rPr>
              <w:t>平方公里。预测未来适宜区分布中心将向北迁移，迁移距离为</w:t>
            </w:r>
            <w:r>
              <w:rPr>
                <w:rStyle w:val="any"/>
                <w:rFonts w:ascii="Tahoma" w:eastAsia="Tahoma" w:hAnsi="Tahoma" w:cs="Tahoma"/>
                <w:b w:val="0"/>
                <w:bCs w:val="0"/>
                <w:i w:val="0"/>
                <w:iCs w:val="0"/>
                <w:caps w:val="0"/>
                <w:smallCaps w:val="0"/>
                <w:color w:val="111111"/>
                <w:spacing w:val="8"/>
                <w:sz w:val="21"/>
                <w:szCs w:val="21"/>
              </w:rPr>
              <w:t>135.74~479.77 km</w:t>
            </w:r>
            <w:r>
              <w:rPr>
                <w:rStyle w:val="any"/>
                <w:rFonts w:ascii="PMingLiU" w:eastAsia="PMingLiU" w:hAnsi="PMingLiU" w:cs="PMingLiU"/>
                <w:b w:val="0"/>
                <w:bCs w:val="0"/>
                <w:i w:val="0"/>
                <w:iCs w:val="0"/>
                <w:caps w:val="0"/>
                <w:smallCaps w:val="0"/>
                <w:color w:val="111111"/>
                <w:spacing w:val="8"/>
                <w:sz w:val="21"/>
                <w:szCs w:val="21"/>
              </w:rPr>
              <w:t>。化学含量测定结果表明，通过评价川芎中阿魏酸和</w:t>
            </w:r>
            <w:r>
              <w:rPr>
                <w:rStyle w:val="any"/>
                <w:rFonts w:ascii="Tahoma" w:eastAsia="Tahoma" w:hAnsi="Tahoma" w:cs="Tahoma"/>
                <w:b w:val="0"/>
                <w:bCs w:val="0"/>
                <w:i w:val="0"/>
                <w:iCs w:val="0"/>
                <w:caps w:val="0"/>
                <w:smallCaps w:val="0"/>
                <w:color w:val="111111"/>
                <w:spacing w:val="8"/>
                <w:sz w:val="21"/>
                <w:szCs w:val="21"/>
              </w:rPr>
              <w:t>Z-</w:t>
            </w:r>
            <w:r>
              <w:rPr>
                <w:rStyle w:val="any"/>
                <w:rFonts w:ascii="PMingLiU" w:eastAsia="PMingLiU" w:hAnsi="PMingLiU" w:cs="PMingLiU"/>
                <w:b w:val="0"/>
                <w:bCs w:val="0"/>
                <w:i w:val="0"/>
                <w:iCs w:val="0"/>
                <w:caps w:val="0"/>
                <w:smallCaps w:val="0"/>
                <w:color w:val="111111"/>
                <w:spacing w:val="8"/>
                <w:sz w:val="21"/>
                <w:szCs w:val="21"/>
              </w:rPr>
              <w:t>藁本内酯的含量，可以提高川芎的药用质量。相关性分析表明，化学含量和基因表达水平都随着栖息地适宜性的降低而降低，表明环境，化学成分和基因表达之间存在很强的联系。这些发现提高了对环境对川芎分布格局的影响以及环境适宜性与药用质量之间关系的理解。这些发现提供了一个有用的基础关于川芎的种植、栽培和保护。</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第五篇：</w:t>
            </w:r>
            <w:r>
              <w:rPr>
                <w:rStyle w:val="any"/>
                <w:rFonts w:ascii="PMingLiU" w:eastAsia="PMingLiU" w:hAnsi="PMingLiU" w:cs="PMingLiU"/>
                <w:b w:val="0"/>
                <w:bCs w:val="0"/>
                <w:i w:val="0"/>
                <w:iCs w:val="0"/>
                <w:caps w:val="0"/>
                <w:smallCaps w:val="0"/>
                <w:color w:val="111111"/>
                <w:spacing w:val="8"/>
                <w:sz w:val="21"/>
                <w:szCs w:val="21"/>
              </w:rPr>
              <w:t>背景：胰腺粘液腺癌（</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）是一种罕见的恶性肿瘤，对其流行病学和预后的了解有限。最初，</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被认为是其他癌症的转移表现；然而，通过监测、流行病学研究和监测、流行病学和最终结果（</w:t>
            </w:r>
            <w:r>
              <w:rPr>
                <w:rStyle w:val="any"/>
                <w:rFonts w:ascii="Tahoma" w:eastAsia="Tahoma" w:hAnsi="Tahoma" w:cs="Tahoma"/>
                <w:b w:val="0"/>
                <w:bCs w:val="0"/>
                <w:i w:val="0"/>
                <w:iCs w:val="0"/>
                <w:caps w:val="0"/>
                <w:smallCaps w:val="0"/>
                <w:color w:val="111111"/>
                <w:spacing w:val="8"/>
                <w:sz w:val="21"/>
                <w:szCs w:val="21"/>
              </w:rPr>
              <w:t>SEER</w:t>
            </w:r>
            <w:r>
              <w:rPr>
                <w:rStyle w:val="any"/>
                <w:rFonts w:ascii="PMingLiU" w:eastAsia="PMingLiU" w:hAnsi="PMingLiU" w:cs="PMingLiU"/>
                <w:b w:val="0"/>
                <w:bCs w:val="0"/>
                <w:i w:val="0"/>
                <w:iCs w:val="0"/>
                <w:caps w:val="0"/>
                <w:smallCaps w:val="0"/>
                <w:color w:val="111111"/>
                <w:spacing w:val="8"/>
                <w:sz w:val="21"/>
                <w:szCs w:val="21"/>
              </w:rPr>
              <w:t>）数据库的数据，记录了非转移性</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的病例。因此，研究</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的流行病学特征并辨别</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与更常见的胰腺导管腺癌（</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）之间的预后差异至关重要。方法：本研究使用</w:t>
            </w:r>
            <w:r>
              <w:rPr>
                <w:rStyle w:val="any"/>
                <w:rFonts w:ascii="Tahoma" w:eastAsia="Tahoma" w:hAnsi="Tahoma" w:cs="Tahoma"/>
                <w:b w:val="0"/>
                <w:bCs w:val="0"/>
                <w:i w:val="0"/>
                <w:iCs w:val="0"/>
                <w:caps w:val="0"/>
                <w:smallCaps w:val="0"/>
                <w:color w:val="111111"/>
                <w:spacing w:val="8"/>
                <w:sz w:val="21"/>
                <w:szCs w:val="21"/>
              </w:rPr>
              <w:t>SEER</w:t>
            </w:r>
            <w:r>
              <w:rPr>
                <w:rStyle w:val="any"/>
                <w:rFonts w:ascii="PMingLiU" w:eastAsia="PMingLiU" w:hAnsi="PMingLiU" w:cs="PMingLiU"/>
                <w:b w:val="0"/>
                <w:bCs w:val="0"/>
                <w:i w:val="0"/>
                <w:iCs w:val="0"/>
                <w:caps w:val="0"/>
                <w:smallCaps w:val="0"/>
                <w:color w:val="111111"/>
                <w:spacing w:val="8"/>
                <w:sz w:val="21"/>
                <w:szCs w:val="21"/>
              </w:rPr>
              <w:t>数据库</w:t>
            </w:r>
            <w:r>
              <w:rPr>
                <w:rStyle w:val="any"/>
                <w:rFonts w:ascii="Tahoma" w:eastAsia="Tahoma" w:hAnsi="Tahoma" w:cs="Tahoma"/>
                <w:b w:val="0"/>
                <w:bCs w:val="0"/>
                <w:i w:val="0"/>
                <w:iCs w:val="0"/>
                <w:caps w:val="0"/>
                <w:smallCaps w:val="0"/>
                <w:color w:val="111111"/>
                <w:spacing w:val="8"/>
                <w:sz w:val="21"/>
                <w:szCs w:val="21"/>
              </w:rPr>
              <w:t>2000</w:t>
            </w:r>
            <w:r>
              <w:rPr>
                <w:rStyle w:val="any"/>
                <w:rFonts w:ascii="PMingLiU" w:eastAsia="PMingLiU" w:hAnsi="PMingLiU" w:cs="PMingLiU"/>
                <w:b w:val="0"/>
                <w:bCs w:val="0"/>
                <w:i w:val="0"/>
                <w:iCs w:val="0"/>
                <w:caps w:val="0"/>
                <w:smallCaps w:val="0"/>
                <w:color w:val="111111"/>
                <w:spacing w:val="8"/>
                <w:sz w:val="21"/>
                <w:szCs w:val="21"/>
              </w:rPr>
              <w:t>年至</w:t>
            </w:r>
            <w:r>
              <w:rPr>
                <w:rStyle w:val="any"/>
                <w:rFonts w:ascii="Tahoma" w:eastAsia="Tahoma" w:hAnsi="Tahoma" w:cs="Tahoma"/>
                <w:b w:val="0"/>
                <w:bCs w:val="0"/>
                <w:i w:val="0"/>
                <w:iCs w:val="0"/>
                <w:caps w:val="0"/>
                <w:smallCaps w:val="0"/>
                <w:color w:val="111111"/>
                <w:spacing w:val="8"/>
                <w:sz w:val="21"/>
                <w:szCs w:val="21"/>
              </w:rPr>
              <w:t>2018</w:t>
            </w:r>
            <w:r>
              <w:rPr>
                <w:rStyle w:val="any"/>
                <w:rFonts w:ascii="PMingLiU" w:eastAsia="PMingLiU" w:hAnsi="PMingLiU" w:cs="PMingLiU"/>
                <w:b w:val="0"/>
                <w:bCs w:val="0"/>
                <w:i w:val="0"/>
                <w:iCs w:val="0"/>
                <w:caps w:val="0"/>
                <w:smallCaps w:val="0"/>
                <w:color w:val="111111"/>
                <w:spacing w:val="8"/>
                <w:sz w:val="21"/>
                <w:szCs w:val="21"/>
              </w:rPr>
              <w:t>年的数据来识别诊断为</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或</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的患者。为了确保</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和</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之间的人口统计特征具有可比性，采用了倾向评分匹配。</w:t>
            </w:r>
            <w:r>
              <w:rPr>
                <w:rStyle w:val="any"/>
                <w:rFonts w:ascii="Tahoma" w:eastAsia="Tahoma" w:hAnsi="Tahoma" w:cs="Tahoma"/>
                <w:b w:val="0"/>
                <w:bCs w:val="0"/>
                <w:i w:val="0"/>
                <w:iCs w:val="0"/>
                <w:caps w:val="0"/>
                <w:smallCaps w:val="0"/>
                <w:color w:val="111111"/>
                <w:spacing w:val="8"/>
                <w:sz w:val="21"/>
                <w:szCs w:val="21"/>
              </w:rPr>
              <w:t>Kaplan-Meier</w:t>
            </w:r>
            <w:r>
              <w:rPr>
                <w:rStyle w:val="any"/>
                <w:rFonts w:ascii="PMingLiU" w:eastAsia="PMingLiU" w:hAnsi="PMingLiU" w:cs="PMingLiU"/>
                <w:b w:val="0"/>
                <w:bCs w:val="0"/>
                <w:i w:val="0"/>
                <w:iCs w:val="0"/>
                <w:caps w:val="0"/>
                <w:smallCaps w:val="0"/>
                <w:color w:val="111111"/>
                <w:spacing w:val="8"/>
                <w:sz w:val="21"/>
                <w:szCs w:val="21"/>
              </w:rPr>
              <w:t>分析用于分析总生存率（</w:t>
            </w:r>
            <w:r>
              <w:rPr>
                <w:rStyle w:val="any"/>
                <w:rFonts w:ascii="Tahoma" w:eastAsia="Tahoma" w:hAnsi="Tahoma" w:cs="Tahoma"/>
                <w:b w:val="0"/>
                <w:bCs w:val="0"/>
                <w:i w:val="0"/>
                <w:iCs w:val="0"/>
                <w:caps w:val="0"/>
                <w:smallCaps w:val="0"/>
                <w:color w:val="111111"/>
                <w:spacing w:val="8"/>
                <w:sz w:val="21"/>
                <w:szCs w:val="21"/>
              </w:rPr>
              <w:t>OS</w:t>
            </w:r>
            <w:r>
              <w:rPr>
                <w:rStyle w:val="any"/>
                <w:rFonts w:ascii="PMingLiU" w:eastAsia="PMingLiU" w:hAnsi="PMingLiU" w:cs="PMingLiU"/>
                <w:b w:val="0"/>
                <w:bCs w:val="0"/>
                <w:i w:val="0"/>
                <w:iCs w:val="0"/>
                <w:caps w:val="0"/>
                <w:smallCaps w:val="0"/>
                <w:color w:val="111111"/>
                <w:spacing w:val="8"/>
                <w:sz w:val="21"/>
                <w:szCs w:val="21"/>
              </w:rPr>
              <w:t>）和癌症特异性生存率（</w:t>
            </w:r>
            <w:r>
              <w:rPr>
                <w:rStyle w:val="any"/>
                <w:rFonts w:ascii="Tahoma" w:eastAsia="Tahoma" w:hAnsi="Tahoma" w:cs="Tahoma"/>
                <w:b w:val="0"/>
                <w:bCs w:val="0"/>
                <w:i w:val="0"/>
                <w:iCs w:val="0"/>
                <w:caps w:val="0"/>
                <w:smallCaps w:val="0"/>
                <w:color w:val="111111"/>
                <w:spacing w:val="8"/>
                <w:sz w:val="21"/>
                <w:szCs w:val="21"/>
              </w:rPr>
              <w:t>CSS</w:t>
            </w:r>
            <w:r>
              <w:rPr>
                <w:rStyle w:val="any"/>
                <w:rFonts w:ascii="PMingLiU" w:eastAsia="PMingLiU" w:hAnsi="PMingLiU" w:cs="PMingLiU"/>
                <w:b w:val="0"/>
                <w:bCs w:val="0"/>
                <w:i w:val="0"/>
                <w:iCs w:val="0"/>
                <w:caps w:val="0"/>
                <w:smallCaps w:val="0"/>
                <w:color w:val="111111"/>
                <w:spacing w:val="8"/>
                <w:sz w:val="21"/>
                <w:szCs w:val="21"/>
              </w:rPr>
              <w:t>）。采用单变量和多变量</w:t>
            </w:r>
            <w:r>
              <w:rPr>
                <w:rStyle w:val="any"/>
                <w:rFonts w:ascii="Tahoma" w:eastAsia="Tahoma" w:hAnsi="Tahoma" w:cs="Tahoma"/>
                <w:b w:val="0"/>
                <w:bCs w:val="0"/>
                <w:i w:val="0"/>
                <w:iCs w:val="0"/>
                <w:caps w:val="0"/>
                <w:smallCaps w:val="0"/>
                <w:color w:val="111111"/>
                <w:spacing w:val="8"/>
                <w:sz w:val="21"/>
                <w:szCs w:val="21"/>
              </w:rPr>
              <w:t>Cox</w:t>
            </w:r>
            <w:r>
              <w:rPr>
                <w:rStyle w:val="any"/>
                <w:rFonts w:ascii="PMingLiU" w:eastAsia="PMingLiU" w:hAnsi="PMingLiU" w:cs="PMingLiU"/>
                <w:b w:val="0"/>
                <w:bCs w:val="0"/>
                <w:i w:val="0"/>
                <w:iCs w:val="0"/>
                <w:caps w:val="0"/>
                <w:smallCaps w:val="0"/>
                <w:color w:val="111111"/>
                <w:spacing w:val="8"/>
                <w:sz w:val="21"/>
                <w:szCs w:val="21"/>
              </w:rPr>
              <w:t>回归分析来确定影响</w:t>
            </w:r>
            <w:r>
              <w:rPr>
                <w:rStyle w:val="any"/>
                <w:rFonts w:ascii="Tahoma" w:eastAsia="Tahoma" w:hAnsi="Tahoma" w:cs="Tahoma"/>
                <w:b w:val="0"/>
                <w:bCs w:val="0"/>
                <w:i w:val="0"/>
                <w:iCs w:val="0"/>
                <w:caps w:val="0"/>
                <w:smallCaps w:val="0"/>
                <w:color w:val="111111"/>
                <w:spacing w:val="8"/>
                <w:sz w:val="21"/>
                <w:szCs w:val="21"/>
              </w:rPr>
              <w:t>OS</w:t>
            </w:r>
            <w:r>
              <w:rPr>
                <w:rStyle w:val="any"/>
                <w:rFonts w:ascii="PMingLiU" w:eastAsia="PMingLiU" w:hAnsi="PMingLiU" w:cs="PMingLiU"/>
                <w:b w:val="0"/>
                <w:bCs w:val="0"/>
                <w:i w:val="0"/>
                <w:iCs w:val="0"/>
                <w:caps w:val="0"/>
                <w:smallCaps w:val="0"/>
                <w:color w:val="111111"/>
                <w:spacing w:val="8"/>
                <w:sz w:val="21"/>
                <w:szCs w:val="21"/>
              </w:rPr>
              <w:t>和</w:t>
            </w:r>
            <w:r>
              <w:rPr>
                <w:rStyle w:val="any"/>
                <w:rFonts w:ascii="Tahoma" w:eastAsia="Tahoma" w:hAnsi="Tahoma" w:cs="Tahoma"/>
                <w:b w:val="0"/>
                <w:bCs w:val="0"/>
                <w:i w:val="0"/>
                <w:iCs w:val="0"/>
                <w:caps w:val="0"/>
                <w:smallCaps w:val="0"/>
                <w:color w:val="111111"/>
                <w:spacing w:val="8"/>
                <w:sz w:val="21"/>
                <w:szCs w:val="21"/>
              </w:rPr>
              <w:t>CSS</w:t>
            </w:r>
            <w:r>
              <w:rPr>
                <w:rStyle w:val="any"/>
                <w:rFonts w:ascii="PMingLiU" w:eastAsia="PMingLiU" w:hAnsi="PMingLiU" w:cs="PMingLiU"/>
                <w:b w:val="0"/>
                <w:bCs w:val="0"/>
                <w:i w:val="0"/>
                <w:iCs w:val="0"/>
                <w:caps w:val="0"/>
                <w:smallCaps w:val="0"/>
                <w:color w:val="111111"/>
                <w:spacing w:val="8"/>
                <w:sz w:val="21"/>
                <w:szCs w:val="21"/>
              </w:rPr>
              <w:t>的独立危险因素。此外，通过最小绝对收缩和选择算子</w:t>
            </w:r>
            <w:r>
              <w:rPr>
                <w:rStyle w:val="any"/>
                <w:rFonts w:ascii="Tahoma" w:eastAsia="Tahoma" w:hAnsi="Tahoma" w:cs="Tahoma"/>
                <w:b w:val="0"/>
                <w:bCs w:val="0"/>
                <w:i w:val="0"/>
                <w:iCs w:val="0"/>
                <w:caps w:val="0"/>
                <w:smallCaps w:val="0"/>
                <w:color w:val="111111"/>
                <w:spacing w:val="8"/>
                <w:sz w:val="21"/>
                <w:szCs w:val="21"/>
              </w:rPr>
              <w:t>Cox</w:t>
            </w:r>
            <w:r>
              <w:rPr>
                <w:rStyle w:val="any"/>
                <w:rFonts w:ascii="PMingLiU" w:eastAsia="PMingLiU" w:hAnsi="PMingLiU" w:cs="PMingLiU"/>
                <w:b w:val="0"/>
                <w:bCs w:val="0"/>
                <w:i w:val="0"/>
                <w:iCs w:val="0"/>
                <w:caps w:val="0"/>
                <w:smallCaps w:val="0"/>
                <w:color w:val="111111"/>
                <w:spacing w:val="8"/>
                <w:sz w:val="21"/>
                <w:szCs w:val="21"/>
              </w:rPr>
              <w:t>回归技术，实现了</w:t>
            </w:r>
            <w:r>
              <w:rPr>
                <w:rStyle w:val="any"/>
                <w:rFonts w:ascii="Tahoma" w:eastAsia="Tahoma" w:hAnsi="Tahoma" w:cs="Tahoma"/>
                <w:b w:val="0"/>
                <w:bCs w:val="0"/>
                <w:i w:val="0"/>
                <w:iCs w:val="0"/>
                <w:caps w:val="0"/>
                <w:smallCaps w:val="0"/>
                <w:color w:val="111111"/>
                <w:spacing w:val="8"/>
                <w:sz w:val="21"/>
                <w:szCs w:val="21"/>
              </w:rPr>
              <w:t>OS</w:t>
            </w:r>
            <w:r>
              <w:rPr>
                <w:rStyle w:val="any"/>
                <w:rFonts w:ascii="PMingLiU" w:eastAsia="PMingLiU" w:hAnsi="PMingLiU" w:cs="PMingLiU"/>
                <w:b w:val="0"/>
                <w:bCs w:val="0"/>
                <w:i w:val="0"/>
                <w:iCs w:val="0"/>
                <w:caps w:val="0"/>
                <w:smallCaps w:val="0"/>
                <w:color w:val="111111"/>
                <w:spacing w:val="8"/>
                <w:sz w:val="21"/>
                <w:szCs w:val="21"/>
              </w:rPr>
              <w:t>和</w:t>
            </w:r>
            <w:r>
              <w:rPr>
                <w:rStyle w:val="any"/>
                <w:rFonts w:ascii="Tahoma" w:eastAsia="Tahoma" w:hAnsi="Tahoma" w:cs="Tahoma"/>
                <w:b w:val="0"/>
                <w:bCs w:val="0"/>
                <w:i w:val="0"/>
                <w:iCs w:val="0"/>
                <w:caps w:val="0"/>
                <w:smallCaps w:val="0"/>
                <w:color w:val="111111"/>
                <w:spacing w:val="8"/>
                <w:sz w:val="21"/>
                <w:szCs w:val="21"/>
              </w:rPr>
              <w:t>CSS</w:t>
            </w:r>
            <w:r>
              <w:rPr>
                <w:rStyle w:val="any"/>
                <w:rFonts w:ascii="PMingLiU" w:eastAsia="PMingLiU" w:hAnsi="PMingLiU" w:cs="PMingLiU"/>
                <w:b w:val="0"/>
                <w:bCs w:val="0"/>
                <w:i w:val="0"/>
                <w:iCs w:val="0"/>
                <w:caps w:val="0"/>
                <w:smallCaps w:val="0"/>
                <w:color w:val="111111"/>
                <w:spacing w:val="8"/>
                <w:sz w:val="21"/>
                <w:szCs w:val="21"/>
              </w:rPr>
              <w:t>风险评分模型的构建和验证。结果：</w:t>
            </w:r>
            <w:r>
              <w:rPr>
                <w:rStyle w:val="any"/>
                <w:rFonts w:ascii="Tahoma" w:eastAsia="Tahoma" w:hAnsi="Tahoma" w:cs="Tahoma"/>
                <w:b w:val="0"/>
                <w:bCs w:val="0"/>
                <w:i w:val="0"/>
                <w:iCs w:val="0"/>
                <w:caps w:val="0"/>
                <w:smallCaps w:val="0"/>
                <w:color w:val="111111"/>
                <w:spacing w:val="8"/>
                <w:sz w:val="21"/>
                <w:szCs w:val="21"/>
              </w:rPr>
              <w:t>SEER</w:t>
            </w:r>
            <w:r>
              <w:rPr>
                <w:rStyle w:val="any"/>
                <w:rFonts w:ascii="PMingLiU" w:eastAsia="PMingLiU" w:hAnsi="PMingLiU" w:cs="PMingLiU"/>
                <w:b w:val="0"/>
                <w:bCs w:val="0"/>
                <w:i w:val="0"/>
                <w:iCs w:val="0"/>
                <w:caps w:val="0"/>
                <w:smallCaps w:val="0"/>
                <w:color w:val="111111"/>
                <w:spacing w:val="8"/>
                <w:sz w:val="21"/>
                <w:szCs w:val="21"/>
              </w:rPr>
              <w:t>数据库包括</w:t>
            </w:r>
            <w:r>
              <w:rPr>
                <w:rStyle w:val="any"/>
                <w:rFonts w:ascii="Tahoma" w:eastAsia="Tahoma" w:hAnsi="Tahoma" w:cs="Tahoma"/>
                <w:b w:val="0"/>
                <w:bCs w:val="0"/>
                <w:i w:val="0"/>
                <w:iCs w:val="0"/>
                <w:caps w:val="0"/>
                <w:smallCaps w:val="0"/>
                <w:color w:val="111111"/>
                <w:spacing w:val="8"/>
                <w:sz w:val="21"/>
                <w:szCs w:val="21"/>
              </w:rPr>
              <w:t>84857</w:t>
            </w:r>
            <w:r>
              <w:rPr>
                <w:rStyle w:val="any"/>
                <w:rFonts w:ascii="PMingLiU" w:eastAsia="PMingLiU" w:hAnsi="PMingLiU" w:cs="PMingLiU"/>
                <w:b w:val="0"/>
                <w:bCs w:val="0"/>
                <w:i w:val="0"/>
                <w:iCs w:val="0"/>
                <w:caps w:val="0"/>
                <w:smallCaps w:val="0"/>
                <w:color w:val="111111"/>
                <w:spacing w:val="8"/>
                <w:sz w:val="21"/>
                <w:szCs w:val="21"/>
              </w:rPr>
              <w:t>名</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患者和</w:t>
            </w:r>
            <w:r>
              <w:rPr>
                <w:rStyle w:val="any"/>
                <w:rFonts w:ascii="Tahoma" w:eastAsia="Tahoma" w:hAnsi="Tahoma" w:cs="Tahoma"/>
                <w:b w:val="0"/>
                <w:bCs w:val="0"/>
                <w:i w:val="0"/>
                <w:iCs w:val="0"/>
                <w:caps w:val="0"/>
                <w:smallCaps w:val="0"/>
                <w:color w:val="111111"/>
                <w:spacing w:val="8"/>
                <w:sz w:val="21"/>
                <w:szCs w:val="21"/>
              </w:rPr>
              <w:t>3345</w:t>
            </w:r>
            <w:r>
              <w:rPr>
                <w:rStyle w:val="any"/>
                <w:rFonts w:ascii="PMingLiU" w:eastAsia="PMingLiU" w:hAnsi="PMingLiU" w:cs="PMingLiU"/>
                <w:b w:val="0"/>
                <w:bCs w:val="0"/>
                <w:i w:val="0"/>
                <w:iCs w:val="0"/>
                <w:caps w:val="0"/>
                <w:smallCaps w:val="0"/>
                <w:color w:val="111111"/>
                <w:spacing w:val="8"/>
                <w:sz w:val="21"/>
                <w:szCs w:val="21"/>
              </w:rPr>
              <w:t>名</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患者。值得注意的是，两组在肿瘤部位的分布、诊断时间、放疗和化疗的使用、肿瘤大小、分级和分期方面存在显著差异。已婚个体、接受可接受化疗的个体和局灶性</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患者的预后明显改善（</w:t>
            </w:r>
            <w:r>
              <w:rPr>
                <w:rStyle w:val="any"/>
                <w:rFonts w:ascii="Tahoma" w:eastAsia="Tahoma" w:hAnsi="Tahoma" w:cs="Tahoma"/>
                <w:b w:val="0"/>
                <w:bCs w:val="0"/>
                <w:i w:val="0"/>
                <w:iCs w:val="0"/>
                <w:caps w:val="0"/>
                <w:smallCaps w:val="0"/>
                <w:color w:val="111111"/>
                <w:spacing w:val="8"/>
                <w:sz w:val="21"/>
                <w:szCs w:val="21"/>
              </w:rPr>
              <w:t>p&lt;0.05</w:t>
            </w:r>
            <w:r>
              <w:rPr>
                <w:rStyle w:val="any"/>
                <w:rFonts w:ascii="PMingLiU" w:eastAsia="PMingLiU" w:hAnsi="PMingLiU" w:cs="PMingLiU"/>
                <w:b w:val="0"/>
                <w:bCs w:val="0"/>
                <w:i w:val="0"/>
                <w:iCs w:val="0"/>
                <w:caps w:val="0"/>
                <w:smallCaps w:val="0"/>
                <w:color w:val="111111"/>
                <w:spacing w:val="8"/>
                <w:sz w:val="21"/>
                <w:szCs w:val="21"/>
              </w:rPr>
              <w:t>）。相反，胰腺尾部淋巴结评分阳性或病理分级较高的患者预后较差（</w:t>
            </w:r>
            <w:r>
              <w:rPr>
                <w:rStyle w:val="any"/>
                <w:rFonts w:ascii="Tahoma" w:eastAsia="Tahoma" w:hAnsi="Tahoma" w:cs="Tahoma"/>
                <w:b w:val="0"/>
                <w:bCs w:val="0"/>
                <w:i w:val="0"/>
                <w:iCs w:val="0"/>
                <w:caps w:val="0"/>
                <w:smallCaps w:val="0"/>
                <w:color w:val="111111"/>
                <w:spacing w:val="8"/>
                <w:sz w:val="21"/>
                <w:szCs w:val="21"/>
              </w:rPr>
              <w:t>p&lt;0.05</w:t>
            </w:r>
            <w:r>
              <w:rPr>
                <w:rStyle w:val="any"/>
                <w:rFonts w:ascii="PMingLiU" w:eastAsia="PMingLiU" w:hAnsi="PMingLiU" w:cs="PMingLiU"/>
                <w:b w:val="0"/>
                <w:bCs w:val="0"/>
                <w:i w:val="0"/>
                <w:iCs w:val="0"/>
                <w:caps w:val="0"/>
                <w:smallCaps w:val="0"/>
                <w:color w:val="111111"/>
                <w:spacing w:val="8"/>
                <w:sz w:val="21"/>
                <w:szCs w:val="21"/>
              </w:rPr>
              <w:t>）。基于预后因素的</w:t>
            </w:r>
            <w:r>
              <w:rPr>
                <w:rStyle w:val="any"/>
                <w:rFonts w:ascii="Tahoma" w:eastAsia="Tahoma" w:hAnsi="Tahoma" w:cs="Tahoma"/>
                <w:b w:val="0"/>
                <w:bCs w:val="0"/>
                <w:i w:val="0"/>
                <w:iCs w:val="0"/>
                <w:caps w:val="0"/>
                <w:smallCaps w:val="0"/>
                <w:color w:val="111111"/>
                <w:spacing w:val="8"/>
                <w:sz w:val="21"/>
                <w:szCs w:val="21"/>
              </w:rPr>
              <w:t>OS</w:t>
            </w:r>
            <w:r>
              <w:rPr>
                <w:rStyle w:val="any"/>
                <w:rFonts w:ascii="PMingLiU" w:eastAsia="PMingLiU" w:hAnsi="PMingLiU" w:cs="PMingLiU"/>
                <w:b w:val="0"/>
                <w:bCs w:val="0"/>
                <w:i w:val="0"/>
                <w:iCs w:val="0"/>
                <w:caps w:val="0"/>
                <w:smallCaps w:val="0"/>
                <w:color w:val="111111"/>
                <w:spacing w:val="8"/>
                <w:sz w:val="21"/>
                <w:szCs w:val="21"/>
              </w:rPr>
              <w:t>或</w:t>
            </w:r>
            <w:r>
              <w:rPr>
                <w:rStyle w:val="any"/>
                <w:rFonts w:ascii="Tahoma" w:eastAsia="Tahoma" w:hAnsi="Tahoma" w:cs="Tahoma"/>
                <w:b w:val="0"/>
                <w:bCs w:val="0"/>
                <w:i w:val="0"/>
                <w:iCs w:val="0"/>
                <w:caps w:val="0"/>
                <w:smallCaps w:val="0"/>
                <w:color w:val="111111"/>
                <w:spacing w:val="8"/>
                <w:sz w:val="21"/>
                <w:szCs w:val="21"/>
              </w:rPr>
              <w:t>CSS</w:t>
            </w:r>
            <w:r>
              <w:rPr>
                <w:rStyle w:val="any"/>
                <w:rFonts w:ascii="PMingLiU" w:eastAsia="PMingLiU" w:hAnsi="PMingLiU" w:cs="PMingLiU"/>
                <w:b w:val="0"/>
                <w:bCs w:val="0"/>
                <w:i w:val="0"/>
                <w:iCs w:val="0"/>
                <w:caps w:val="0"/>
                <w:smallCaps w:val="0"/>
                <w:color w:val="111111"/>
                <w:spacing w:val="8"/>
                <w:sz w:val="21"/>
                <w:szCs w:val="21"/>
              </w:rPr>
              <w:t>风险评分模型表明，高危患者的预后明显较低与低风险患者相比（曲线下面积</w:t>
            </w:r>
            <w:r>
              <w:rPr>
                <w:rStyle w:val="any"/>
                <w:rFonts w:ascii="Tahoma" w:eastAsia="Tahoma" w:hAnsi="Tahoma" w:cs="Tahoma"/>
                <w:b w:val="0"/>
                <w:bCs w:val="0"/>
                <w:i w:val="0"/>
                <w:iCs w:val="0"/>
                <w:caps w:val="0"/>
                <w:smallCaps w:val="0"/>
                <w:color w:val="111111"/>
                <w:spacing w:val="8"/>
                <w:sz w:val="21"/>
                <w:szCs w:val="21"/>
              </w:rPr>
              <w:t>OS:0.81-0.82</w:t>
            </w:r>
            <w:r>
              <w:rPr>
                <w:rStyle w:val="any"/>
                <w:rFonts w:ascii="PMingLiU" w:eastAsia="PMingLiU" w:hAnsi="PMingLiU" w:cs="PMingLiU"/>
                <w:b w:val="0"/>
                <w:bCs w:val="0"/>
                <w:i w:val="0"/>
                <w:iCs w:val="0"/>
                <w:caps w:val="0"/>
                <w:smallCaps w:val="0"/>
                <w:color w:val="111111"/>
                <w:spacing w:val="8"/>
                <w:sz w:val="21"/>
                <w:szCs w:val="21"/>
              </w:rPr>
              <w:t>，</w:t>
            </w:r>
            <w:r>
              <w:rPr>
                <w:rStyle w:val="any"/>
                <w:rFonts w:ascii="Tahoma" w:eastAsia="Tahoma" w:hAnsi="Tahoma" w:cs="Tahoma"/>
                <w:b w:val="0"/>
                <w:bCs w:val="0"/>
                <w:i w:val="0"/>
                <w:iCs w:val="0"/>
                <w:caps w:val="0"/>
                <w:smallCaps w:val="0"/>
                <w:color w:val="111111"/>
                <w:spacing w:val="8"/>
                <w:sz w:val="21"/>
                <w:szCs w:val="21"/>
              </w:rPr>
              <w:t>CSS:0.80-0.82</w:t>
            </w:r>
            <w:r>
              <w:rPr>
                <w:rStyle w:val="any"/>
                <w:rFonts w:ascii="PMingLiU" w:eastAsia="PMingLiU" w:hAnsi="PMingLiU" w:cs="PMingLiU"/>
                <w:b w:val="0"/>
                <w:bCs w:val="0"/>
                <w:i w:val="0"/>
                <w:iCs w:val="0"/>
                <w:caps w:val="0"/>
                <w:smallCaps w:val="0"/>
                <w:color w:val="111111"/>
                <w:spacing w:val="8"/>
                <w:sz w:val="21"/>
                <w:szCs w:val="21"/>
              </w:rPr>
              <w:t>）。结论：与非特异性</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相比，</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具有明显的临床特征。利用这些特征和病理分类可以准确预测</w:t>
            </w:r>
            <w:r>
              <w:rPr>
                <w:rStyle w:val="any"/>
                <w:rFonts w:ascii="Tahoma" w:eastAsia="Tahoma" w:hAnsi="Tahoma" w:cs="Tahoma"/>
                <w:b w:val="0"/>
                <w:bCs w:val="0"/>
                <w:i w:val="0"/>
                <w:iCs w:val="0"/>
                <w:caps w:val="0"/>
                <w:smallCaps w:val="0"/>
                <w:color w:val="111111"/>
                <w:spacing w:val="8"/>
                <w:sz w:val="21"/>
                <w:szCs w:val="21"/>
              </w:rPr>
              <w:t>PMAC</w:t>
            </w:r>
            <w:r>
              <w:rPr>
                <w:rStyle w:val="any"/>
                <w:rFonts w:ascii="PMingLiU" w:eastAsia="PMingLiU" w:hAnsi="PMingLiU" w:cs="PMingLiU"/>
                <w:b w:val="0"/>
                <w:bCs w:val="0"/>
                <w:i w:val="0"/>
                <w:iCs w:val="0"/>
                <w:caps w:val="0"/>
                <w:smallCaps w:val="0"/>
                <w:color w:val="111111"/>
                <w:spacing w:val="8"/>
                <w:sz w:val="21"/>
                <w:szCs w:val="21"/>
              </w:rPr>
              <w:t>或</w:t>
            </w:r>
            <w:r>
              <w:rPr>
                <w:rStyle w:val="any"/>
                <w:rFonts w:ascii="Tahoma" w:eastAsia="Tahoma" w:hAnsi="Tahoma" w:cs="Tahoma"/>
                <w:b w:val="0"/>
                <w:bCs w:val="0"/>
                <w:i w:val="0"/>
                <w:iCs w:val="0"/>
                <w:caps w:val="0"/>
                <w:smallCaps w:val="0"/>
                <w:color w:val="111111"/>
                <w:spacing w:val="8"/>
                <w:sz w:val="21"/>
                <w:szCs w:val="21"/>
              </w:rPr>
              <w:t>PDAC</w:t>
            </w:r>
            <w:r>
              <w:rPr>
                <w:rStyle w:val="any"/>
                <w:rFonts w:ascii="PMingLiU" w:eastAsia="PMingLiU" w:hAnsi="PMingLiU" w:cs="PMingLiU"/>
                <w:b w:val="0"/>
                <w:bCs w:val="0"/>
                <w:i w:val="0"/>
                <w:iCs w:val="0"/>
                <w:caps w:val="0"/>
                <w:smallCaps w:val="0"/>
                <w:color w:val="111111"/>
                <w:spacing w:val="8"/>
                <w:sz w:val="21"/>
                <w:szCs w:val="21"/>
              </w:rPr>
              <w:t>。</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第六篇：</w:t>
            </w:r>
            <w:r>
              <w:rPr>
                <w:rStyle w:val="any"/>
                <w:rFonts w:ascii="Tahoma" w:eastAsia="Tahoma" w:hAnsi="Tahoma" w:cs="Tahoma"/>
                <w:b w:val="0"/>
                <w:bCs w:val="0"/>
                <w:i w:val="0"/>
                <w:iCs w:val="0"/>
                <w:caps w:val="0"/>
                <w:smallCaps w:val="0"/>
                <w:color w:val="111111"/>
                <w:spacing w:val="8"/>
                <w:sz w:val="23"/>
                <w:szCs w:val="23"/>
              </w:rPr>
              <w:t>DNA</w:t>
            </w:r>
            <w:r>
              <w:rPr>
                <w:rStyle w:val="any"/>
                <w:rFonts w:ascii="PMingLiU" w:eastAsia="PMingLiU" w:hAnsi="PMingLiU" w:cs="PMingLiU"/>
                <w:b w:val="0"/>
                <w:bCs w:val="0"/>
                <w:i w:val="0"/>
                <w:iCs w:val="0"/>
                <w:caps w:val="0"/>
                <w:smallCaps w:val="0"/>
                <w:color w:val="111111"/>
                <w:spacing w:val="8"/>
                <w:sz w:val="23"/>
                <w:szCs w:val="23"/>
              </w:rPr>
              <w:t>和</w:t>
            </w:r>
            <w:r>
              <w:rPr>
                <w:rStyle w:val="any"/>
                <w:rFonts w:ascii="Tahoma" w:eastAsia="Tahoma" w:hAnsi="Tahoma" w:cs="Tahoma"/>
                <w:b w:val="0"/>
                <w:bCs w:val="0"/>
                <w:i w:val="0"/>
                <w:iCs w:val="0"/>
                <w:caps w:val="0"/>
                <w:smallCaps w:val="0"/>
                <w:color w:val="111111"/>
                <w:spacing w:val="8"/>
                <w:sz w:val="23"/>
                <w:szCs w:val="23"/>
              </w:rPr>
              <w:t>RNA</w:t>
            </w:r>
            <w:r>
              <w:rPr>
                <w:rStyle w:val="any"/>
                <w:rFonts w:ascii="PMingLiU" w:eastAsia="PMingLiU" w:hAnsi="PMingLiU" w:cs="PMingLiU"/>
                <w:b w:val="0"/>
                <w:bCs w:val="0"/>
                <w:i w:val="0"/>
                <w:iCs w:val="0"/>
                <w:caps w:val="0"/>
                <w:smallCaps w:val="0"/>
                <w:color w:val="111111"/>
                <w:spacing w:val="8"/>
                <w:sz w:val="23"/>
                <w:szCs w:val="23"/>
              </w:rPr>
              <w:t>中富含</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的序列倾向于折叠成稳定的二级结构，称为</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四链体。除了端粒区域，</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四链体形成序列广泛存在于基因启动子中，并与转录调控有关。单核苷酸多态性（</w:t>
            </w:r>
            <w:r>
              <w:rPr>
                <w:rStyle w:val="any"/>
                <w:rFonts w:ascii="Tahoma" w:eastAsia="Tahoma" w:hAnsi="Tahoma" w:cs="Tahoma"/>
                <w:b w:val="0"/>
                <w:bCs w:val="0"/>
                <w:i w:val="0"/>
                <w:iCs w:val="0"/>
                <w:caps w:val="0"/>
                <w:smallCaps w:val="0"/>
                <w:color w:val="111111"/>
                <w:spacing w:val="8"/>
                <w:sz w:val="23"/>
                <w:szCs w:val="23"/>
              </w:rPr>
              <w:t>SNPs</w:t>
            </w:r>
            <w:r>
              <w:rPr>
                <w:rStyle w:val="any"/>
                <w:rFonts w:ascii="PMingLiU" w:eastAsia="PMingLiU" w:hAnsi="PMingLiU" w:cs="PMingLiU"/>
                <w:b w:val="0"/>
                <w:bCs w:val="0"/>
                <w:i w:val="0"/>
                <w:iCs w:val="0"/>
                <w:caps w:val="0"/>
                <w:smallCaps w:val="0"/>
                <w:color w:val="111111"/>
                <w:spacing w:val="8"/>
                <w:sz w:val="23"/>
                <w:szCs w:val="23"/>
              </w:rPr>
              <w:t>）可以破坏基因启动子的</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四链体结构。在这项研究中，我们证实了</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的启动子，一种癌症相关基因，倾向于形成一种不寻常的</w:t>
            </w:r>
            <w:r>
              <w:rPr>
                <w:rStyle w:val="any"/>
                <w:rFonts w:ascii="Tahoma" w:eastAsia="Tahoma" w:hAnsi="Tahoma" w:cs="Tahoma"/>
                <w:b w:val="0"/>
                <w:bCs w:val="0"/>
                <w:i w:val="0"/>
                <w:iCs w:val="0"/>
                <w:caps w:val="0"/>
                <w:smallCaps w:val="0"/>
                <w:color w:val="111111"/>
                <w:spacing w:val="8"/>
                <w:sz w:val="23"/>
                <w:szCs w:val="23"/>
              </w:rPr>
              <w:t>DNA</w:t>
            </w:r>
            <w:r>
              <w:rPr>
                <w:rStyle w:val="any"/>
                <w:rFonts w:ascii="PMingLiU" w:eastAsia="PMingLiU" w:hAnsi="PMingLiU" w:cs="PMingLiU"/>
                <w:b w:val="0"/>
                <w:bCs w:val="0"/>
                <w:i w:val="0"/>
                <w:iCs w:val="0"/>
                <w:caps w:val="0"/>
                <w:smallCaps w:val="0"/>
                <w:color w:val="111111"/>
                <w:spacing w:val="8"/>
                <w:sz w:val="23"/>
                <w:szCs w:val="23"/>
              </w:rPr>
              <w:t>二级结构。双荧光素酶检测显示，</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启动子中具有单个</w:t>
            </w:r>
            <w:r>
              <w:rPr>
                <w:rStyle w:val="any"/>
                <w:rFonts w:ascii="Tahoma" w:eastAsia="Tahoma" w:hAnsi="Tahoma" w:cs="Tahoma"/>
                <w:b w:val="0"/>
                <w:bCs w:val="0"/>
                <w:i w:val="0"/>
                <w:iCs w:val="0"/>
                <w:caps w:val="0"/>
                <w:smallCaps w:val="0"/>
                <w:color w:val="111111"/>
                <w:spacing w:val="8"/>
                <w:sz w:val="23"/>
                <w:szCs w:val="23"/>
              </w:rPr>
              <w:t>G&gt;a</w:t>
            </w:r>
            <w:r>
              <w:rPr>
                <w:rStyle w:val="any"/>
                <w:rFonts w:ascii="PMingLiU" w:eastAsia="PMingLiU" w:hAnsi="PMingLiU" w:cs="PMingLiU"/>
                <w:b w:val="0"/>
                <w:bCs w:val="0"/>
                <w:i w:val="0"/>
                <w:iCs w:val="0"/>
                <w:caps w:val="0"/>
                <w:smallCaps w:val="0"/>
                <w:color w:val="111111"/>
                <w:spacing w:val="8"/>
                <w:sz w:val="23"/>
                <w:szCs w:val="23"/>
              </w:rPr>
              <w:t>突变的</w:t>
            </w:r>
            <w:r>
              <w:rPr>
                <w:rStyle w:val="any"/>
                <w:rFonts w:ascii="Tahoma" w:eastAsia="Tahoma" w:hAnsi="Tahoma" w:cs="Tahoma"/>
                <w:b w:val="0"/>
                <w:bCs w:val="0"/>
                <w:i w:val="0"/>
                <w:iCs w:val="0"/>
                <w:caps w:val="0"/>
                <w:smallCaps w:val="0"/>
                <w:color w:val="111111"/>
                <w:spacing w:val="8"/>
                <w:sz w:val="23"/>
                <w:szCs w:val="23"/>
              </w:rPr>
              <w:t>SNP rs2234704</w:t>
            </w:r>
            <w:r>
              <w:rPr>
                <w:rStyle w:val="any"/>
                <w:rFonts w:ascii="PMingLiU" w:eastAsia="PMingLiU" w:hAnsi="PMingLiU" w:cs="PMingLiU"/>
                <w:b w:val="0"/>
                <w:bCs w:val="0"/>
                <w:i w:val="0"/>
                <w:iCs w:val="0"/>
                <w:caps w:val="0"/>
                <w:smallCaps w:val="0"/>
                <w:color w:val="111111"/>
                <w:spacing w:val="8"/>
                <w:sz w:val="23"/>
                <w:szCs w:val="23"/>
              </w:rPr>
              <w:t>增加了</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启动因子的转录活性。圆二色性和天然</w:t>
            </w:r>
            <w:r>
              <w:rPr>
                <w:rStyle w:val="any"/>
                <w:rFonts w:ascii="Tahoma" w:eastAsia="Tahoma" w:hAnsi="Tahoma" w:cs="Tahoma"/>
                <w:b w:val="0"/>
                <w:bCs w:val="0"/>
                <w:i w:val="0"/>
                <w:iCs w:val="0"/>
                <w:caps w:val="0"/>
                <w:smallCaps w:val="0"/>
                <w:color w:val="111111"/>
                <w:spacing w:val="8"/>
                <w:sz w:val="23"/>
                <w:szCs w:val="23"/>
              </w:rPr>
              <w:t>PAGE</w:t>
            </w:r>
            <w:r>
              <w:rPr>
                <w:rStyle w:val="any"/>
                <w:rFonts w:ascii="PMingLiU" w:eastAsia="PMingLiU" w:hAnsi="PMingLiU" w:cs="PMingLiU"/>
                <w:b w:val="0"/>
                <w:bCs w:val="0"/>
                <w:i w:val="0"/>
                <w:iCs w:val="0"/>
                <w:caps w:val="0"/>
                <w:smallCaps w:val="0"/>
                <w:color w:val="111111"/>
                <w:spacing w:val="8"/>
                <w:sz w:val="23"/>
                <w:szCs w:val="23"/>
              </w:rPr>
              <w:t>显示，该启动子中富含</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的</w:t>
            </w:r>
            <w:r>
              <w:rPr>
                <w:rStyle w:val="any"/>
                <w:rFonts w:ascii="Tahoma" w:eastAsia="Tahoma" w:hAnsi="Tahoma" w:cs="Tahoma"/>
                <w:b w:val="0"/>
                <w:bCs w:val="0"/>
                <w:i w:val="0"/>
                <w:iCs w:val="0"/>
                <w:caps w:val="0"/>
                <w:smallCaps w:val="0"/>
                <w:color w:val="111111"/>
                <w:spacing w:val="8"/>
                <w:sz w:val="23"/>
                <w:szCs w:val="23"/>
              </w:rPr>
              <w:t>DNA</w:t>
            </w:r>
            <w:r>
              <w:rPr>
                <w:rStyle w:val="any"/>
                <w:rFonts w:ascii="PMingLiU" w:eastAsia="PMingLiU" w:hAnsi="PMingLiU" w:cs="PMingLiU"/>
                <w:b w:val="0"/>
                <w:bCs w:val="0"/>
                <w:i w:val="0"/>
                <w:iCs w:val="0"/>
                <w:caps w:val="0"/>
                <w:smallCaps w:val="0"/>
                <w:color w:val="111111"/>
                <w:spacing w:val="8"/>
                <w:sz w:val="23"/>
                <w:szCs w:val="23"/>
              </w:rPr>
              <w:t>链更倾向于形成平行的</w:t>
            </w:r>
            <w:r>
              <w:rPr>
                <w:rStyle w:val="any"/>
                <w:rFonts w:ascii="Tahoma" w:eastAsia="Tahoma" w:hAnsi="Tahoma" w:cs="Tahoma"/>
                <w:b w:val="0"/>
                <w:bCs w:val="0"/>
                <w:i w:val="0"/>
                <w:iCs w:val="0"/>
                <w:caps w:val="0"/>
                <w:smallCaps w:val="0"/>
                <w:color w:val="111111"/>
                <w:spacing w:val="8"/>
                <w:sz w:val="23"/>
                <w:szCs w:val="23"/>
              </w:rPr>
              <w:t>G-</w:t>
            </w:r>
            <w:r>
              <w:rPr>
                <w:rStyle w:val="any"/>
                <w:rFonts w:ascii="PMingLiU" w:eastAsia="PMingLiU" w:hAnsi="PMingLiU" w:cs="PMingLiU"/>
                <w:b w:val="0"/>
                <w:bCs w:val="0"/>
                <w:i w:val="0"/>
                <w:iCs w:val="0"/>
                <w:caps w:val="0"/>
                <w:smallCaps w:val="0"/>
                <w:color w:val="111111"/>
                <w:spacing w:val="8"/>
                <w:sz w:val="23"/>
                <w:szCs w:val="23"/>
              </w:rPr>
              <w:t>四链体，这可能会被</w:t>
            </w:r>
            <w:r>
              <w:rPr>
                <w:rStyle w:val="any"/>
                <w:rFonts w:ascii="Tahoma" w:eastAsia="Tahoma" w:hAnsi="Tahoma" w:cs="Tahoma"/>
                <w:b w:val="0"/>
                <w:bCs w:val="0"/>
                <w:i w:val="0"/>
                <w:iCs w:val="0"/>
                <w:caps w:val="0"/>
                <w:smallCaps w:val="0"/>
                <w:color w:val="111111"/>
                <w:spacing w:val="8"/>
                <w:sz w:val="23"/>
                <w:szCs w:val="23"/>
              </w:rPr>
              <w:t>SNP rs2234704</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G&gt;a</w:t>
            </w:r>
            <w:r>
              <w:rPr>
                <w:rStyle w:val="any"/>
                <w:rFonts w:ascii="PMingLiU" w:eastAsia="PMingLiU" w:hAnsi="PMingLiU" w:cs="PMingLiU"/>
                <w:b w:val="0"/>
                <w:bCs w:val="0"/>
                <w:i w:val="0"/>
                <w:iCs w:val="0"/>
                <w:caps w:val="0"/>
                <w:smallCaps w:val="0"/>
                <w:color w:val="111111"/>
                <w:spacing w:val="8"/>
                <w:sz w:val="23"/>
                <w:szCs w:val="23"/>
              </w:rPr>
              <w:t>）突变破坏稳定性。此外，我们发现</w:t>
            </w:r>
            <w:r>
              <w:rPr>
                <w:rStyle w:val="any"/>
                <w:rFonts w:ascii="Tahoma" w:eastAsia="Tahoma" w:hAnsi="Tahoma" w:cs="Tahoma"/>
                <w:b w:val="0"/>
                <w:bCs w:val="0"/>
                <w:i w:val="0"/>
                <w:iCs w:val="0"/>
                <w:caps w:val="0"/>
                <w:smallCaps w:val="0"/>
                <w:color w:val="111111"/>
                <w:spacing w:val="8"/>
                <w:sz w:val="23"/>
                <w:szCs w:val="23"/>
              </w:rPr>
              <w:t>SNP rs2234704</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G&gt;A</w:t>
            </w:r>
            <w:r>
              <w:rPr>
                <w:rStyle w:val="any"/>
                <w:rFonts w:ascii="PMingLiU" w:eastAsia="PMingLiU" w:hAnsi="PMingLiU" w:cs="PMingLiU"/>
                <w:b w:val="0"/>
                <w:bCs w:val="0"/>
                <w:i w:val="0"/>
                <w:iCs w:val="0"/>
                <w:caps w:val="0"/>
                <w:smallCaps w:val="0"/>
                <w:color w:val="111111"/>
                <w:spacing w:val="8"/>
                <w:sz w:val="23"/>
                <w:szCs w:val="23"/>
              </w:rPr>
              <w:t>）显著增加并影响了癌症样本中</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的过度表达。这些结果提示</w:t>
            </w:r>
            <w:r>
              <w:rPr>
                <w:rStyle w:val="any"/>
                <w:rFonts w:ascii="Tahoma" w:eastAsia="Tahoma" w:hAnsi="Tahoma" w:cs="Tahoma"/>
                <w:b w:val="0"/>
                <w:bCs w:val="0"/>
                <w:i w:val="0"/>
                <w:iCs w:val="0"/>
                <w:caps w:val="0"/>
                <w:smallCaps w:val="0"/>
                <w:color w:val="111111"/>
                <w:spacing w:val="8"/>
                <w:sz w:val="23"/>
                <w:szCs w:val="23"/>
              </w:rPr>
              <w:t>SNP rs2234704</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G&gt;A</w:t>
            </w:r>
            <w:r>
              <w:rPr>
                <w:rStyle w:val="any"/>
                <w:rFonts w:ascii="PMingLiU" w:eastAsia="PMingLiU" w:hAnsi="PMingLiU" w:cs="PMingLiU"/>
                <w:b w:val="0"/>
                <w:bCs w:val="0"/>
                <w:i w:val="0"/>
                <w:iCs w:val="0"/>
                <w:caps w:val="0"/>
                <w:smallCaps w:val="0"/>
                <w:color w:val="111111"/>
                <w:spacing w:val="8"/>
                <w:sz w:val="23"/>
                <w:szCs w:val="23"/>
              </w:rPr>
              <w:t>）可能通过破坏</w:t>
            </w:r>
            <w:r>
              <w:rPr>
                <w:rStyle w:val="any"/>
                <w:rFonts w:ascii="Tahoma" w:eastAsia="Tahoma" w:hAnsi="Tahoma" w:cs="Tahoma"/>
                <w:b w:val="0"/>
                <w:bCs w:val="0"/>
                <w:i w:val="0"/>
                <w:iCs w:val="0"/>
                <w:caps w:val="0"/>
                <w:smallCaps w:val="0"/>
                <w:color w:val="111111"/>
                <w:spacing w:val="8"/>
                <w:sz w:val="23"/>
                <w:szCs w:val="23"/>
              </w:rPr>
              <w:t>G-quadruplex</w:t>
            </w:r>
            <w:r>
              <w:rPr>
                <w:rStyle w:val="any"/>
                <w:rFonts w:ascii="PMingLiU" w:eastAsia="PMingLiU" w:hAnsi="PMingLiU" w:cs="PMingLiU"/>
                <w:b w:val="0"/>
                <w:bCs w:val="0"/>
                <w:i w:val="0"/>
                <w:iCs w:val="0"/>
                <w:caps w:val="0"/>
                <w:smallCaps w:val="0"/>
                <w:color w:val="111111"/>
                <w:spacing w:val="8"/>
                <w:sz w:val="23"/>
                <w:szCs w:val="23"/>
              </w:rPr>
              <w:t>结构和促进</w:t>
            </w:r>
            <w:r>
              <w:rPr>
                <w:rStyle w:val="any"/>
                <w:rFonts w:ascii="Tahoma" w:eastAsia="Tahoma" w:hAnsi="Tahoma" w:cs="Tahoma"/>
                <w:b w:val="0"/>
                <w:bCs w:val="0"/>
                <w:i w:val="0"/>
                <w:iCs w:val="0"/>
                <w:caps w:val="0"/>
                <w:smallCaps w:val="0"/>
                <w:color w:val="111111"/>
                <w:spacing w:val="8"/>
                <w:sz w:val="23"/>
                <w:szCs w:val="23"/>
              </w:rPr>
              <w:t>HSPB2</w:t>
            </w:r>
            <w:r>
              <w:rPr>
                <w:rStyle w:val="any"/>
                <w:rFonts w:ascii="PMingLiU" w:eastAsia="PMingLiU" w:hAnsi="PMingLiU" w:cs="PMingLiU"/>
                <w:b w:val="0"/>
                <w:bCs w:val="0"/>
                <w:i w:val="0"/>
                <w:iCs w:val="0"/>
                <w:caps w:val="0"/>
                <w:smallCaps w:val="0"/>
                <w:color w:val="111111"/>
                <w:spacing w:val="8"/>
                <w:sz w:val="23"/>
                <w:szCs w:val="23"/>
              </w:rPr>
              <w:t>的表达而在癌症的发生中发挥作用。</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第七篇：</w:t>
            </w:r>
            <w:r>
              <w:rPr>
                <w:rStyle w:val="any"/>
                <w:rFonts w:ascii="PMingLiU" w:eastAsia="PMingLiU" w:hAnsi="PMingLiU" w:cs="PMingLiU"/>
                <w:b w:val="0"/>
                <w:bCs w:val="0"/>
                <w:i w:val="0"/>
                <w:iCs w:val="0"/>
                <w:caps w:val="0"/>
                <w:smallCaps w:val="0"/>
                <w:color w:val="111111"/>
                <w:spacing w:val="8"/>
                <w:sz w:val="23"/>
                <w:szCs w:val="23"/>
              </w:rPr>
              <w:t>目的：我们旨在探索基于非负矩阵因子分解（</w:t>
            </w:r>
            <w:r>
              <w:rPr>
                <w:rStyle w:val="any"/>
                <w:rFonts w:ascii="Tahoma" w:eastAsia="Tahoma" w:hAnsi="Tahoma" w:cs="Tahoma"/>
                <w:b w:val="0"/>
                <w:bCs w:val="0"/>
                <w:i w:val="0"/>
                <w:iCs w:val="0"/>
                <w:caps w:val="0"/>
                <w:smallCaps w:val="0"/>
                <w:color w:val="111111"/>
                <w:spacing w:val="8"/>
                <w:sz w:val="23"/>
                <w:szCs w:val="23"/>
              </w:rPr>
              <w:t>NMF</w:t>
            </w:r>
            <w:r>
              <w:rPr>
                <w:rStyle w:val="any"/>
                <w:rFonts w:ascii="PMingLiU" w:eastAsia="PMingLiU" w:hAnsi="PMingLiU" w:cs="PMingLiU"/>
                <w:b w:val="0"/>
                <w:bCs w:val="0"/>
                <w:i w:val="0"/>
                <w:iCs w:val="0"/>
                <w:caps w:val="0"/>
                <w:smallCaps w:val="0"/>
                <w:color w:val="111111"/>
                <w:spacing w:val="8"/>
                <w:sz w:val="23"/>
                <w:szCs w:val="23"/>
              </w:rPr>
              <w:t>）模型的聚类在头颈部鳞状细胞癌（</w:t>
            </w:r>
            <w:r>
              <w:rPr>
                <w:rStyle w:val="any"/>
                <w:rFonts w:ascii="Tahoma" w:eastAsia="Tahoma" w:hAnsi="Tahoma" w:cs="Tahoma"/>
                <w:b w:val="0"/>
                <w:bCs w:val="0"/>
                <w:i w:val="0"/>
                <w:iCs w:val="0"/>
                <w:caps w:val="0"/>
                <w:smallCaps w:val="0"/>
                <w:color w:val="111111"/>
                <w:spacing w:val="8"/>
                <w:sz w:val="23"/>
                <w:szCs w:val="23"/>
              </w:rPr>
              <w:t>HNSCC</w:t>
            </w:r>
            <w:r>
              <w:rPr>
                <w:rStyle w:val="any"/>
                <w:rFonts w:ascii="PMingLiU" w:eastAsia="PMingLiU" w:hAnsi="PMingLiU" w:cs="PMingLiU"/>
                <w:b w:val="0"/>
                <w:bCs w:val="0"/>
                <w:i w:val="0"/>
                <w:iCs w:val="0"/>
                <w:caps w:val="0"/>
                <w:smallCaps w:val="0"/>
                <w:color w:val="111111"/>
                <w:spacing w:val="8"/>
                <w:sz w:val="23"/>
                <w:szCs w:val="23"/>
              </w:rPr>
              <w:t>）预后评估中的有效性。方法：从癌症基因组图谱（</w:t>
            </w:r>
            <w:r>
              <w:rPr>
                <w:rStyle w:val="any"/>
                <w:rFonts w:ascii="Tahoma" w:eastAsia="Tahoma" w:hAnsi="Tahoma" w:cs="Tahoma"/>
                <w:b w:val="0"/>
                <w:bCs w:val="0"/>
                <w:i w:val="0"/>
                <w:iCs w:val="0"/>
                <w:caps w:val="0"/>
                <w:smallCaps w:val="0"/>
                <w:color w:val="111111"/>
                <w:spacing w:val="8"/>
                <w:sz w:val="23"/>
                <w:szCs w:val="23"/>
              </w:rPr>
              <w:t>TCGA</w:t>
            </w:r>
            <w:r>
              <w:rPr>
                <w:rStyle w:val="any"/>
                <w:rFonts w:ascii="PMingLiU" w:eastAsia="PMingLiU" w:hAnsi="PMingLiU" w:cs="PMingLiU"/>
                <w:b w:val="0"/>
                <w:bCs w:val="0"/>
                <w:i w:val="0"/>
                <w:iCs w:val="0"/>
                <w:caps w:val="0"/>
                <w:smallCaps w:val="0"/>
                <w:color w:val="111111"/>
                <w:spacing w:val="8"/>
                <w:sz w:val="23"/>
                <w:szCs w:val="23"/>
              </w:rPr>
              <w:t>）和上海市第九人民医院下载</w:t>
            </w:r>
            <w:r>
              <w:rPr>
                <w:rStyle w:val="any"/>
                <w:rFonts w:ascii="Tahoma" w:eastAsia="Tahoma" w:hAnsi="Tahoma" w:cs="Tahoma"/>
                <w:b w:val="0"/>
                <w:bCs w:val="0"/>
                <w:i w:val="0"/>
                <w:iCs w:val="0"/>
                <w:caps w:val="0"/>
                <w:smallCaps w:val="0"/>
                <w:color w:val="111111"/>
                <w:spacing w:val="8"/>
                <w:sz w:val="23"/>
                <w:szCs w:val="23"/>
              </w:rPr>
              <w:t>HNSCC</w:t>
            </w:r>
            <w:r>
              <w:rPr>
                <w:rStyle w:val="any"/>
                <w:rFonts w:ascii="PMingLiU" w:eastAsia="PMingLiU" w:hAnsi="PMingLiU" w:cs="PMingLiU"/>
                <w:b w:val="0"/>
                <w:bCs w:val="0"/>
                <w:i w:val="0"/>
                <w:iCs w:val="0"/>
                <w:caps w:val="0"/>
                <w:smallCaps w:val="0"/>
                <w:color w:val="111111"/>
                <w:spacing w:val="8"/>
                <w:sz w:val="23"/>
                <w:szCs w:val="23"/>
              </w:rPr>
              <w:t>样本的转录组微阵列数据。</w:t>
            </w:r>
            <w:r>
              <w:rPr>
                <w:rStyle w:val="any"/>
                <w:rFonts w:ascii="Tahoma" w:eastAsia="Tahoma" w:hAnsi="Tahoma" w:cs="Tahoma"/>
                <w:b w:val="0"/>
                <w:bCs w:val="0"/>
                <w:i w:val="0"/>
                <w:iCs w:val="0"/>
                <w:caps w:val="0"/>
                <w:smallCaps w:val="0"/>
                <w:color w:val="111111"/>
                <w:spacing w:val="8"/>
                <w:sz w:val="23"/>
                <w:szCs w:val="23"/>
              </w:rPr>
              <w:t>R</w:t>
            </w:r>
            <w:r>
              <w:rPr>
                <w:rStyle w:val="any"/>
                <w:rFonts w:ascii="PMingLiU" w:eastAsia="PMingLiU" w:hAnsi="PMingLiU" w:cs="PMingLiU"/>
                <w:b w:val="0"/>
                <w:bCs w:val="0"/>
                <w:i w:val="0"/>
                <w:iCs w:val="0"/>
                <w:caps w:val="0"/>
                <w:smallCaps w:val="0"/>
                <w:color w:val="111111"/>
                <w:spacing w:val="8"/>
                <w:sz w:val="23"/>
                <w:szCs w:val="23"/>
              </w:rPr>
              <w:t>软件包用于建立</w:t>
            </w:r>
            <w:r>
              <w:rPr>
                <w:rStyle w:val="any"/>
                <w:rFonts w:ascii="Tahoma" w:eastAsia="Tahoma" w:hAnsi="Tahoma" w:cs="Tahoma"/>
                <w:b w:val="0"/>
                <w:bCs w:val="0"/>
                <w:i w:val="0"/>
                <w:iCs w:val="0"/>
                <w:caps w:val="0"/>
                <w:smallCaps w:val="0"/>
                <w:color w:val="111111"/>
                <w:spacing w:val="8"/>
                <w:sz w:val="23"/>
                <w:szCs w:val="23"/>
              </w:rPr>
              <w:t>NMF</w:t>
            </w:r>
            <w:r>
              <w:rPr>
                <w:rStyle w:val="any"/>
                <w:rFonts w:ascii="PMingLiU" w:eastAsia="PMingLiU" w:hAnsi="PMingLiU" w:cs="PMingLiU"/>
                <w:b w:val="0"/>
                <w:bCs w:val="0"/>
                <w:i w:val="0"/>
                <w:iCs w:val="0"/>
                <w:caps w:val="0"/>
                <w:smallCaps w:val="0"/>
                <w:color w:val="111111"/>
                <w:spacing w:val="8"/>
                <w:sz w:val="23"/>
                <w:szCs w:val="23"/>
              </w:rPr>
              <w:t>聚类，并据此开发相关的预后模型。结果：根据</w:t>
            </w:r>
            <w:r>
              <w:rPr>
                <w:rStyle w:val="any"/>
                <w:rFonts w:ascii="Tahoma" w:eastAsia="Tahoma" w:hAnsi="Tahoma" w:cs="Tahoma"/>
                <w:b w:val="0"/>
                <w:bCs w:val="0"/>
                <w:i w:val="0"/>
                <w:iCs w:val="0"/>
                <w:caps w:val="0"/>
                <w:smallCaps w:val="0"/>
                <w:color w:val="111111"/>
                <w:spacing w:val="8"/>
                <w:sz w:val="23"/>
                <w:szCs w:val="23"/>
              </w:rPr>
              <w:t>NMF</w:t>
            </w:r>
            <w:r>
              <w:rPr>
                <w:rStyle w:val="any"/>
                <w:rFonts w:ascii="PMingLiU" w:eastAsia="PMingLiU" w:hAnsi="PMingLiU" w:cs="PMingLiU"/>
                <w:b w:val="0"/>
                <w:bCs w:val="0"/>
                <w:i w:val="0"/>
                <w:iCs w:val="0"/>
                <w:caps w:val="0"/>
                <w:smallCaps w:val="0"/>
                <w:color w:val="111111"/>
                <w:spacing w:val="8"/>
                <w:sz w:val="23"/>
                <w:szCs w:val="23"/>
              </w:rPr>
              <w:t>，样本被分为</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个亚组。使用两个亚组之间差异表达的基因构建预测模型。高危组预后不良。此外，多因素</w:t>
            </w:r>
            <w:r>
              <w:rPr>
                <w:rStyle w:val="any"/>
                <w:rFonts w:ascii="Tahoma" w:eastAsia="Tahoma" w:hAnsi="Tahoma" w:cs="Tahoma"/>
                <w:b w:val="0"/>
                <w:bCs w:val="0"/>
                <w:i w:val="0"/>
                <w:iCs w:val="0"/>
                <w:caps w:val="0"/>
                <w:smallCaps w:val="0"/>
                <w:color w:val="111111"/>
                <w:spacing w:val="8"/>
                <w:sz w:val="23"/>
                <w:szCs w:val="23"/>
              </w:rPr>
              <w:t>Cox</w:t>
            </w:r>
            <w:r>
              <w:rPr>
                <w:rStyle w:val="any"/>
                <w:rFonts w:ascii="PMingLiU" w:eastAsia="PMingLiU" w:hAnsi="PMingLiU" w:cs="PMingLiU"/>
                <w:b w:val="0"/>
                <w:bCs w:val="0"/>
                <w:i w:val="0"/>
                <w:iCs w:val="0"/>
                <w:caps w:val="0"/>
                <w:smallCaps w:val="0"/>
                <w:color w:val="111111"/>
                <w:spacing w:val="8"/>
                <w:sz w:val="23"/>
                <w:szCs w:val="23"/>
              </w:rPr>
              <w:t>回归分析表明，预测模型是一个独立的预后预测因子。结论：基于</w:t>
            </w:r>
            <w:r>
              <w:rPr>
                <w:rStyle w:val="any"/>
                <w:rFonts w:ascii="Tahoma" w:eastAsia="Tahoma" w:hAnsi="Tahoma" w:cs="Tahoma"/>
                <w:b w:val="0"/>
                <w:bCs w:val="0"/>
                <w:i w:val="0"/>
                <w:iCs w:val="0"/>
                <w:caps w:val="0"/>
                <w:smallCaps w:val="0"/>
                <w:color w:val="111111"/>
                <w:spacing w:val="8"/>
                <w:sz w:val="23"/>
                <w:szCs w:val="23"/>
              </w:rPr>
              <w:t>NMF</w:t>
            </w:r>
            <w:r>
              <w:rPr>
                <w:rStyle w:val="any"/>
                <w:rFonts w:ascii="PMingLiU" w:eastAsia="PMingLiU" w:hAnsi="PMingLiU" w:cs="PMingLiU"/>
                <w:b w:val="0"/>
                <w:bCs w:val="0"/>
                <w:i w:val="0"/>
                <w:iCs w:val="0"/>
                <w:caps w:val="0"/>
                <w:smallCaps w:val="0"/>
                <w:color w:val="111111"/>
                <w:spacing w:val="8"/>
                <w:sz w:val="23"/>
                <w:szCs w:val="23"/>
              </w:rPr>
              <w:t>的预后模型具有评估</w:t>
            </w:r>
            <w:r>
              <w:rPr>
                <w:rStyle w:val="any"/>
                <w:rFonts w:ascii="Tahoma" w:eastAsia="Tahoma" w:hAnsi="Tahoma" w:cs="Tahoma"/>
                <w:b w:val="0"/>
                <w:bCs w:val="0"/>
                <w:i w:val="0"/>
                <w:iCs w:val="0"/>
                <w:caps w:val="0"/>
                <w:smallCaps w:val="0"/>
                <w:color w:val="111111"/>
                <w:spacing w:val="8"/>
                <w:sz w:val="23"/>
                <w:szCs w:val="23"/>
              </w:rPr>
              <w:t>HNSCC</w:t>
            </w:r>
            <w:r>
              <w:rPr>
                <w:rStyle w:val="any"/>
                <w:rFonts w:ascii="PMingLiU" w:eastAsia="PMingLiU" w:hAnsi="PMingLiU" w:cs="PMingLiU"/>
                <w:b w:val="0"/>
                <w:bCs w:val="0"/>
                <w:i w:val="0"/>
                <w:iCs w:val="0"/>
                <w:caps w:val="0"/>
                <w:smallCaps w:val="0"/>
                <w:color w:val="111111"/>
                <w:spacing w:val="8"/>
                <w:sz w:val="23"/>
                <w:szCs w:val="23"/>
              </w:rPr>
              <w:t>预后的潜力。</w:t>
            </w:r>
            <w:r>
              <w:rPr>
                <w:rStyle w:val="any"/>
                <w:rFonts w:ascii="Calibri" w:eastAsia="Calibri" w:hAnsi="Calibri" w:cs="Calibri"/>
                <w:b w:val="0"/>
                <w:bCs w:val="0"/>
                <w:i w:val="0"/>
                <w:iCs w:val="0"/>
                <w:smallCaps w:val="0"/>
                <w:color w:val="000000"/>
                <w:spacing w:val="8"/>
              </w:rPr>
              <w:t>        </w:t>
            </w:r>
          </w:p>
        </w:tc>
      </w:tr>
      <w:tr>
        <w:tblPrEx>
          <w:tblW w:w="5000" w:type="pct"/>
          <w:tblInd w:w="455" w:type="dxa"/>
          <w:tblCellMar>
            <w:top w:w="0" w:type="dxa"/>
            <w:left w:w="0" w:type="dxa"/>
            <w:bottom w:w="0" w:type="dxa"/>
            <w:right w:w="0" w:type="dxa"/>
          </w:tblCellMar>
          <w:tblLook w:val="05E0"/>
        </w:tblPrEx>
        <w:trPr>
          <w:trHeight w:val="479"/>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作者信息</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val="0"/>
                <w:bCs w:val="0"/>
                <w:i w:val="0"/>
                <w:iCs w:val="0"/>
                <w:caps w:val="0"/>
                <w:smallCaps w:val="0"/>
                <w:color w:val="111111"/>
                <w:spacing w:val="8"/>
                <w:sz w:val="21"/>
                <w:szCs w:val="21"/>
              </w:rPr>
              <w:t>隐去，不公布</w:t>
            </w:r>
          </w:p>
        </w:tc>
      </w:tr>
      <w:tr>
        <w:tblPrEx>
          <w:tblW w:w="5000" w:type="pct"/>
          <w:tblInd w:w="455" w:type="dxa"/>
          <w:tblCellMar>
            <w:top w:w="0" w:type="dxa"/>
            <w:left w:w="0" w:type="dxa"/>
            <w:bottom w:w="0" w:type="dxa"/>
            <w:right w:w="0" w:type="dxa"/>
          </w:tblCellMar>
          <w:tblLook w:val="05E0"/>
        </w:tblPrEx>
        <w:trPr>
          <w:trHeight w:val="404"/>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单位信息</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第一篇：</w:t>
            </w:r>
            <w:r>
              <w:rPr>
                <w:rStyle w:val="any"/>
                <w:b w:val="0"/>
                <w:bCs w:val="0"/>
                <w:i w:val="0"/>
                <w:iCs w:val="0"/>
                <w:caps w:val="0"/>
                <w:smallCaps w:val="0"/>
                <w:color w:val="111111"/>
                <w:spacing w:val="8"/>
                <w:sz w:val="21"/>
                <w:szCs w:val="21"/>
              </w:rPr>
              <w:t>1</w:t>
            </w:r>
            <w:r>
              <w:rPr>
                <w:rStyle w:val="any"/>
                <w:rFonts w:ascii="PMingLiU" w:eastAsia="PMingLiU" w:hAnsi="PMingLiU" w:cs="PMingLiU"/>
                <w:b w:val="0"/>
                <w:bCs w:val="0"/>
                <w:i w:val="0"/>
                <w:iCs w:val="0"/>
                <w:caps w:val="0"/>
                <w:smallCaps w:val="0"/>
                <w:color w:val="111111"/>
                <w:spacing w:val="8"/>
                <w:sz w:val="21"/>
                <w:szCs w:val="21"/>
              </w:rPr>
              <w:t>江西中医药大学癌症研究中心，</w:t>
            </w:r>
            <w:r>
              <w:rPr>
                <w:rStyle w:val="any"/>
                <w:b w:val="0"/>
                <w:bCs w:val="0"/>
                <w:i w:val="0"/>
                <w:iCs w:val="0"/>
                <w:caps w:val="0"/>
                <w:smallCaps w:val="0"/>
                <w:color w:val="111111"/>
                <w:spacing w:val="8"/>
                <w:sz w:val="21"/>
                <w:szCs w:val="21"/>
              </w:rPr>
              <w:t>330004</w:t>
            </w:r>
            <w:r>
              <w:rPr>
                <w:rStyle w:val="any"/>
                <w:rFonts w:ascii="PMingLiU" w:eastAsia="PMingLiU" w:hAnsi="PMingLiU" w:cs="PMingLiU"/>
                <w:b w:val="0"/>
                <w:bCs w:val="0"/>
                <w:i w:val="0"/>
                <w:iCs w:val="0"/>
                <w:caps w:val="0"/>
                <w:smallCaps w:val="0"/>
                <w:color w:val="111111"/>
                <w:spacing w:val="8"/>
                <w:sz w:val="21"/>
                <w:szCs w:val="21"/>
              </w:rPr>
              <w:t>。</w:t>
            </w:r>
            <w:r>
              <w:rPr>
                <w:rStyle w:val="any"/>
                <w:b w:val="0"/>
                <w:bCs w:val="0"/>
                <w:i w:val="0"/>
                <w:iCs w:val="0"/>
                <w:caps w:val="0"/>
                <w:smallCaps w:val="0"/>
                <w:color w:val="111111"/>
                <w:spacing w:val="8"/>
                <w:sz w:val="21"/>
                <w:szCs w:val="21"/>
              </w:rPr>
              <w:t>2</w:t>
            </w:r>
            <w:r>
              <w:rPr>
                <w:rStyle w:val="any"/>
                <w:rFonts w:ascii="PMingLiU" w:eastAsia="PMingLiU" w:hAnsi="PMingLiU" w:cs="PMingLiU"/>
                <w:b w:val="0"/>
                <w:bCs w:val="0"/>
                <w:i w:val="0"/>
                <w:iCs w:val="0"/>
                <w:caps w:val="0"/>
                <w:smallCaps w:val="0"/>
                <w:color w:val="111111"/>
                <w:spacing w:val="8"/>
                <w:sz w:val="21"/>
                <w:szCs w:val="21"/>
              </w:rPr>
              <w:t>成都中医药大学附属医院，</w:t>
            </w:r>
            <w:r>
              <w:rPr>
                <w:rStyle w:val="any"/>
                <w:b w:val="0"/>
                <w:bCs w:val="0"/>
                <w:i w:val="0"/>
                <w:iCs w:val="0"/>
                <w:caps w:val="0"/>
                <w:smallCaps w:val="0"/>
                <w:color w:val="111111"/>
                <w:spacing w:val="8"/>
                <w:sz w:val="21"/>
                <w:szCs w:val="21"/>
              </w:rPr>
              <w:t>610072</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第二篇：</w:t>
            </w:r>
            <w:r>
              <w:rPr>
                <w:rStyle w:val="any"/>
                <w:b w:val="0"/>
                <w:bCs w:val="0"/>
                <w:i w:val="0"/>
                <w:iCs w:val="0"/>
                <w:caps w:val="0"/>
                <w:smallCaps w:val="0"/>
                <w:color w:val="111111"/>
                <w:spacing w:val="8"/>
                <w:sz w:val="21"/>
                <w:szCs w:val="21"/>
              </w:rPr>
              <w:t>1</w:t>
            </w:r>
            <w:r>
              <w:rPr>
                <w:rStyle w:val="any"/>
                <w:rFonts w:ascii="PMingLiU" w:eastAsia="PMingLiU" w:hAnsi="PMingLiU" w:cs="PMingLiU"/>
                <w:b w:val="0"/>
                <w:bCs w:val="0"/>
                <w:i w:val="0"/>
                <w:iCs w:val="0"/>
                <w:caps w:val="0"/>
                <w:smallCaps w:val="0"/>
                <w:color w:val="111111"/>
                <w:spacing w:val="8"/>
                <w:sz w:val="23"/>
                <w:szCs w:val="23"/>
              </w:rPr>
              <w:t>西安交通大学红会医院阎良分院关节外科转化医学中心，西安</w:t>
            </w:r>
            <w:r>
              <w:rPr>
                <w:rStyle w:val="any"/>
                <w:rFonts w:ascii="Tahoma" w:eastAsia="Tahoma" w:hAnsi="Tahoma" w:cs="Tahoma"/>
                <w:b w:val="0"/>
                <w:bCs w:val="0"/>
                <w:i w:val="0"/>
                <w:iCs w:val="0"/>
                <w:caps w:val="0"/>
                <w:smallCaps w:val="0"/>
                <w:color w:val="111111"/>
                <w:spacing w:val="8"/>
                <w:sz w:val="23"/>
                <w:szCs w:val="23"/>
              </w:rPr>
              <w:t>710000</w:t>
            </w:r>
            <w:r>
              <w:rPr>
                <w:rStyle w:val="any"/>
                <w:rFonts w:ascii="PMingLiU" w:eastAsia="PMingLiU" w:hAnsi="PMingLiU" w:cs="PMingLiU"/>
                <w:b w:val="0"/>
                <w:bCs w:val="0"/>
                <w:i w:val="0"/>
                <w:iCs w:val="0"/>
                <w:caps w:val="0"/>
                <w:smallCaps w:val="0"/>
                <w:color w:val="111111"/>
                <w:spacing w:val="8"/>
                <w:sz w:val="23"/>
                <w:szCs w:val="23"/>
              </w:rPr>
              <w:t>，陕西。</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贵阳卫生职业大学医学技术系，贵州贵阳，</w:t>
            </w:r>
            <w:r>
              <w:rPr>
                <w:rStyle w:val="any"/>
                <w:rFonts w:ascii="Tahoma" w:eastAsia="Tahoma" w:hAnsi="Tahoma" w:cs="Tahoma"/>
                <w:b w:val="0"/>
                <w:bCs w:val="0"/>
                <w:i w:val="0"/>
                <w:iCs w:val="0"/>
                <w:caps w:val="0"/>
                <w:smallCaps w:val="0"/>
                <w:color w:val="111111"/>
                <w:spacing w:val="8"/>
                <w:sz w:val="23"/>
                <w:szCs w:val="23"/>
              </w:rPr>
              <w:t>550081</w:t>
            </w:r>
            <w:r>
              <w:rPr>
                <w:rStyle w:val="any"/>
                <w:rFonts w:ascii="PMingLiU" w:eastAsia="PMingLiU" w:hAnsi="PMingLiU" w:cs="PMingLiU"/>
                <w:b w:val="0"/>
                <w:bCs w:val="0"/>
                <w:i w:val="0"/>
                <w:iCs w:val="0"/>
                <w:caps w:val="0"/>
                <w:smallCaps w:val="0"/>
                <w:color w:val="111111"/>
                <w:spacing w:val="8"/>
                <w:sz w:val="23"/>
                <w:szCs w:val="23"/>
              </w:rPr>
              <w:t>。</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第三篇：</w:t>
            </w:r>
            <w:r>
              <w:rPr>
                <w:rStyle w:val="any"/>
                <w:rFonts w:ascii="Tahoma" w:eastAsia="Tahoma" w:hAnsi="Tahoma" w:cs="Tahoma"/>
                <w:b w:val="0"/>
                <w:bCs w:val="0"/>
                <w:i w:val="0"/>
                <w:iCs w:val="0"/>
                <w:caps w:val="0"/>
                <w:smallCaps w:val="0"/>
                <w:color w:val="111111"/>
                <w:spacing w:val="8"/>
                <w:sz w:val="23"/>
                <w:szCs w:val="23"/>
              </w:rPr>
              <w:t>1</w:t>
            </w:r>
            <w:r>
              <w:rPr>
                <w:rStyle w:val="any"/>
                <w:rFonts w:ascii="PMingLiU" w:eastAsia="PMingLiU" w:hAnsi="PMingLiU" w:cs="PMingLiU"/>
                <w:b w:val="0"/>
                <w:bCs w:val="0"/>
                <w:i w:val="0"/>
                <w:iCs w:val="0"/>
                <w:caps w:val="0"/>
                <w:smallCaps w:val="0"/>
                <w:color w:val="111111"/>
                <w:spacing w:val="8"/>
                <w:sz w:val="23"/>
                <w:szCs w:val="23"/>
              </w:rPr>
              <w:t>复旦大学中山医院麻醉科，上海，</w:t>
            </w:r>
            <w:r>
              <w:rPr>
                <w:rStyle w:val="any"/>
                <w:rFonts w:ascii="Tahoma" w:eastAsia="Tahoma" w:hAnsi="Tahoma" w:cs="Tahoma"/>
                <w:b w:val="0"/>
                <w:bCs w:val="0"/>
                <w:i w:val="0"/>
                <w:iCs w:val="0"/>
                <w:caps w:val="0"/>
                <w:smallCaps w:val="0"/>
                <w:color w:val="111111"/>
                <w:spacing w:val="8"/>
                <w:sz w:val="23"/>
                <w:szCs w:val="23"/>
              </w:rPr>
              <w:t>200032</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复旦大学中山医院上海市围手术期应激与防护重点实验室，上海，</w:t>
            </w:r>
            <w:r>
              <w:rPr>
                <w:rStyle w:val="any"/>
                <w:rFonts w:ascii="Tahoma" w:eastAsia="Tahoma" w:hAnsi="Tahoma" w:cs="Tahoma"/>
                <w:b w:val="0"/>
                <w:bCs w:val="0"/>
                <w:i w:val="0"/>
                <w:iCs w:val="0"/>
                <w:caps w:val="0"/>
                <w:smallCaps w:val="0"/>
                <w:color w:val="111111"/>
                <w:spacing w:val="8"/>
                <w:sz w:val="23"/>
                <w:szCs w:val="23"/>
              </w:rPr>
              <w:t>200032</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3</w:t>
            </w:r>
            <w:r>
              <w:rPr>
                <w:rStyle w:val="any"/>
                <w:rFonts w:ascii="PMingLiU" w:eastAsia="PMingLiU" w:hAnsi="PMingLiU" w:cs="PMingLiU"/>
                <w:b w:val="0"/>
                <w:bCs w:val="0"/>
                <w:i w:val="0"/>
                <w:iCs w:val="0"/>
                <w:caps w:val="0"/>
                <w:smallCaps w:val="0"/>
                <w:color w:val="111111"/>
                <w:spacing w:val="8"/>
                <w:sz w:val="23"/>
                <w:szCs w:val="23"/>
              </w:rPr>
              <w:t>日本筑波茨城市筑波大学医学院诊断与介入放射学系。上海市延安西路</w:t>
            </w:r>
            <w:r>
              <w:rPr>
                <w:rStyle w:val="any"/>
                <w:rFonts w:ascii="Tahoma" w:eastAsia="Tahoma" w:hAnsi="Tahoma" w:cs="Tahoma"/>
                <w:b w:val="0"/>
                <w:bCs w:val="0"/>
                <w:i w:val="0"/>
                <w:iCs w:val="0"/>
                <w:caps w:val="0"/>
                <w:smallCaps w:val="0"/>
                <w:color w:val="111111"/>
                <w:spacing w:val="8"/>
                <w:sz w:val="23"/>
                <w:szCs w:val="23"/>
              </w:rPr>
              <w:t>221</w:t>
            </w:r>
            <w:r>
              <w:rPr>
                <w:rStyle w:val="any"/>
                <w:rFonts w:ascii="PMingLiU" w:eastAsia="PMingLiU" w:hAnsi="PMingLiU" w:cs="PMingLiU"/>
                <w:b w:val="0"/>
                <w:bCs w:val="0"/>
                <w:i w:val="0"/>
                <w:iCs w:val="0"/>
                <w:caps w:val="0"/>
                <w:smallCaps w:val="0"/>
                <w:color w:val="111111"/>
                <w:spacing w:val="8"/>
                <w:sz w:val="23"/>
                <w:szCs w:val="23"/>
              </w:rPr>
              <w:t>号复旦大学附属华东医院麻醉科，邮编</w:t>
            </w:r>
            <w:r>
              <w:rPr>
                <w:rStyle w:val="any"/>
                <w:rFonts w:ascii="Tahoma" w:eastAsia="Tahoma" w:hAnsi="Tahoma" w:cs="Tahoma"/>
                <w:b w:val="0"/>
                <w:bCs w:val="0"/>
                <w:i w:val="0"/>
                <w:iCs w:val="0"/>
                <w:caps w:val="0"/>
                <w:smallCaps w:val="0"/>
                <w:color w:val="111111"/>
                <w:spacing w:val="8"/>
                <w:sz w:val="23"/>
                <w:szCs w:val="23"/>
              </w:rPr>
              <w:t>200040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5</w:t>
            </w:r>
            <w:r>
              <w:rPr>
                <w:rStyle w:val="any"/>
                <w:rFonts w:ascii="PMingLiU" w:eastAsia="PMingLiU" w:hAnsi="PMingLiU" w:cs="PMingLiU"/>
                <w:b w:val="0"/>
                <w:bCs w:val="0"/>
                <w:i w:val="0"/>
                <w:iCs w:val="0"/>
                <w:caps w:val="0"/>
                <w:smallCaps w:val="0"/>
                <w:color w:val="111111"/>
                <w:spacing w:val="8"/>
                <w:sz w:val="23"/>
                <w:szCs w:val="23"/>
              </w:rPr>
              <w:t>上海癌症中心麻醉科，复旦大学，上海，</w:t>
            </w:r>
            <w:r>
              <w:rPr>
                <w:rStyle w:val="any"/>
                <w:rFonts w:ascii="Tahoma" w:eastAsia="Tahoma" w:hAnsi="Tahoma" w:cs="Tahoma"/>
                <w:b w:val="0"/>
                <w:bCs w:val="0"/>
                <w:i w:val="0"/>
                <w:iCs w:val="0"/>
                <w:caps w:val="0"/>
                <w:smallCaps w:val="0"/>
                <w:color w:val="111111"/>
                <w:spacing w:val="8"/>
                <w:sz w:val="23"/>
                <w:szCs w:val="23"/>
              </w:rPr>
              <w:t>200032</w:t>
            </w:r>
            <w:r>
              <w:rPr>
                <w:rStyle w:val="any"/>
                <w:rFonts w:ascii="PMingLiU" w:eastAsia="PMingLiU" w:hAnsi="PMingLiU" w:cs="PMingLiU"/>
                <w:b w:val="0"/>
                <w:bCs w:val="0"/>
                <w:i w:val="0"/>
                <w:iCs w:val="0"/>
                <w:caps w:val="0"/>
                <w:smallCaps w:val="0"/>
                <w:color w:val="111111"/>
                <w:spacing w:val="8"/>
                <w:sz w:val="23"/>
                <w:szCs w:val="23"/>
              </w:rPr>
              <w:t>。</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第四篇</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1</w:t>
            </w:r>
            <w:r>
              <w:rPr>
                <w:rStyle w:val="any"/>
                <w:rFonts w:ascii="PMingLiU" w:eastAsia="PMingLiU" w:hAnsi="PMingLiU" w:cs="PMingLiU"/>
                <w:b w:val="0"/>
                <w:bCs w:val="0"/>
                <w:i w:val="0"/>
                <w:iCs w:val="0"/>
                <w:caps w:val="0"/>
                <w:smallCaps w:val="0"/>
                <w:color w:val="111111"/>
                <w:spacing w:val="8"/>
                <w:sz w:val="23"/>
                <w:szCs w:val="23"/>
              </w:rPr>
              <w:t>成都中医药大学医学技术学院西南中医药资源国家重点实验室，四川成都，</w:t>
            </w:r>
            <w:r>
              <w:rPr>
                <w:rStyle w:val="any"/>
                <w:rFonts w:ascii="Tahoma" w:eastAsia="Tahoma" w:hAnsi="Tahoma" w:cs="Tahoma"/>
                <w:b w:val="0"/>
                <w:bCs w:val="0"/>
                <w:i w:val="0"/>
                <w:iCs w:val="0"/>
                <w:caps w:val="0"/>
                <w:smallCaps w:val="0"/>
                <w:color w:val="111111"/>
                <w:spacing w:val="8"/>
                <w:sz w:val="23"/>
                <w:szCs w:val="23"/>
              </w:rPr>
              <w:t>611137</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成都医学院第二附属医院，中国核工业</w:t>
            </w:r>
            <w:r>
              <w:rPr>
                <w:rStyle w:val="any"/>
                <w:rFonts w:ascii="Tahoma" w:eastAsia="Tahoma" w:hAnsi="Tahoma" w:cs="Tahoma"/>
                <w:b w:val="0"/>
                <w:bCs w:val="0"/>
                <w:i w:val="0"/>
                <w:iCs w:val="0"/>
                <w:caps w:val="0"/>
                <w:smallCaps w:val="0"/>
                <w:color w:val="111111"/>
                <w:spacing w:val="8"/>
                <w:sz w:val="23"/>
                <w:szCs w:val="23"/>
              </w:rPr>
              <w:t>416</w:t>
            </w:r>
            <w:r>
              <w:rPr>
                <w:rStyle w:val="any"/>
                <w:rFonts w:ascii="PMingLiU" w:eastAsia="PMingLiU" w:hAnsi="PMingLiU" w:cs="PMingLiU"/>
                <w:b w:val="0"/>
                <w:bCs w:val="0"/>
                <w:i w:val="0"/>
                <w:iCs w:val="0"/>
                <w:caps w:val="0"/>
                <w:smallCaps w:val="0"/>
                <w:color w:val="111111"/>
                <w:spacing w:val="8"/>
                <w:sz w:val="23"/>
                <w:szCs w:val="23"/>
              </w:rPr>
              <w:t>医院，四川成都，</w:t>
            </w:r>
            <w:r>
              <w:rPr>
                <w:rStyle w:val="any"/>
                <w:rFonts w:ascii="Tahoma" w:eastAsia="Tahoma" w:hAnsi="Tahoma" w:cs="Tahoma"/>
                <w:b w:val="0"/>
                <w:bCs w:val="0"/>
                <w:i w:val="0"/>
                <w:iCs w:val="0"/>
                <w:caps w:val="0"/>
                <w:smallCaps w:val="0"/>
                <w:color w:val="111111"/>
                <w:spacing w:val="8"/>
                <w:sz w:val="23"/>
                <w:szCs w:val="23"/>
              </w:rPr>
              <w:t>610057</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3</w:t>
            </w:r>
            <w:r>
              <w:rPr>
                <w:rStyle w:val="any"/>
                <w:rFonts w:ascii="PMingLiU" w:eastAsia="PMingLiU" w:hAnsi="PMingLiU" w:cs="PMingLiU"/>
                <w:b w:val="0"/>
                <w:bCs w:val="0"/>
                <w:i w:val="0"/>
                <w:iCs w:val="0"/>
                <w:caps w:val="0"/>
                <w:smallCaps w:val="0"/>
                <w:color w:val="111111"/>
                <w:spacing w:val="8"/>
                <w:sz w:val="23"/>
                <w:szCs w:val="23"/>
              </w:rPr>
              <w:t>成都医学院检验医学院，四川成都，</w:t>
            </w:r>
            <w:r>
              <w:rPr>
                <w:rStyle w:val="any"/>
                <w:rFonts w:ascii="Tahoma" w:eastAsia="Tahoma" w:hAnsi="Tahoma" w:cs="Tahoma"/>
                <w:b w:val="0"/>
                <w:bCs w:val="0"/>
                <w:i w:val="0"/>
                <w:iCs w:val="0"/>
                <w:caps w:val="0"/>
                <w:smallCaps w:val="0"/>
                <w:color w:val="111111"/>
                <w:spacing w:val="8"/>
                <w:sz w:val="23"/>
                <w:szCs w:val="23"/>
              </w:rPr>
              <w:t>610500</w:t>
            </w:r>
            <w:r>
              <w:rPr>
                <w:rStyle w:val="any"/>
                <w:rFonts w:ascii="PMingLiU" w:eastAsia="PMingLiU" w:hAnsi="PMingLiU" w:cs="PMingLiU"/>
                <w:b w:val="0"/>
                <w:bCs w:val="0"/>
                <w:i w:val="0"/>
                <w:iCs w:val="0"/>
                <w:caps w:val="0"/>
                <w:smallCaps w:val="0"/>
                <w:color w:val="111111"/>
                <w:spacing w:val="8"/>
                <w:sz w:val="23"/>
                <w:szCs w:val="23"/>
              </w:rPr>
              <w:t>。</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第五篇</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1</w:t>
            </w:r>
            <w:r>
              <w:rPr>
                <w:rStyle w:val="any"/>
                <w:rFonts w:ascii="PMingLiU" w:eastAsia="PMingLiU" w:hAnsi="PMingLiU" w:cs="PMingLiU"/>
                <w:b w:val="0"/>
                <w:bCs w:val="0"/>
                <w:i w:val="0"/>
                <w:iCs w:val="0"/>
                <w:caps w:val="0"/>
                <w:smallCaps w:val="0"/>
                <w:color w:val="111111"/>
                <w:spacing w:val="8"/>
                <w:sz w:val="23"/>
                <w:szCs w:val="23"/>
              </w:rPr>
              <w:t>中南大学湘雅第二医院临床护理教研室，湖南。</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中南大学湘雅第二医院妇产科，湖南长沙。</w:t>
            </w:r>
            <w:r>
              <w:rPr>
                <w:rStyle w:val="any"/>
                <w:rFonts w:ascii="Tahoma" w:eastAsia="Tahoma" w:hAnsi="Tahoma" w:cs="Tahoma"/>
                <w:b w:val="0"/>
                <w:bCs w:val="0"/>
                <w:i w:val="0"/>
                <w:iCs w:val="0"/>
                <w:caps w:val="0"/>
                <w:smallCaps w:val="0"/>
                <w:color w:val="111111"/>
                <w:spacing w:val="8"/>
                <w:sz w:val="23"/>
                <w:szCs w:val="23"/>
              </w:rPr>
              <w:t>3</w:t>
            </w:r>
            <w:r>
              <w:rPr>
                <w:rStyle w:val="any"/>
                <w:rFonts w:ascii="PMingLiU" w:eastAsia="PMingLiU" w:hAnsi="PMingLiU" w:cs="PMingLiU"/>
                <w:b w:val="0"/>
                <w:bCs w:val="0"/>
                <w:i w:val="0"/>
                <w:iCs w:val="0"/>
                <w:caps w:val="0"/>
                <w:smallCaps w:val="0"/>
                <w:color w:val="111111"/>
                <w:spacing w:val="8"/>
                <w:sz w:val="23"/>
                <w:szCs w:val="23"/>
              </w:rPr>
              <w:t>益阳市中心医院乳腺甲状腺外科，益阳，</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第六篇</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1</w:t>
            </w:r>
            <w:r>
              <w:rPr>
                <w:rStyle w:val="any"/>
                <w:rFonts w:ascii="PMingLiU" w:eastAsia="PMingLiU" w:hAnsi="PMingLiU" w:cs="PMingLiU"/>
                <w:b w:val="0"/>
                <w:bCs w:val="0"/>
                <w:i w:val="0"/>
                <w:iCs w:val="0"/>
                <w:caps w:val="0"/>
                <w:smallCaps w:val="0"/>
                <w:color w:val="111111"/>
                <w:spacing w:val="8"/>
                <w:sz w:val="23"/>
                <w:szCs w:val="23"/>
              </w:rPr>
              <w:t>济宁医科大学附属医院医学研究中心，北京医科大学，山东济宁，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济宁医科大学附属医院医疗设备科，山东济宁，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3</w:t>
            </w:r>
            <w:r>
              <w:rPr>
                <w:rStyle w:val="any"/>
                <w:rFonts w:ascii="PMingLiU" w:eastAsia="PMingLiU" w:hAnsi="PMingLiU" w:cs="PMingLiU"/>
                <w:b w:val="0"/>
                <w:bCs w:val="0"/>
                <w:i w:val="0"/>
                <w:iCs w:val="0"/>
                <w:caps w:val="0"/>
                <w:smallCaps w:val="0"/>
                <w:color w:val="111111"/>
                <w:spacing w:val="8"/>
                <w:sz w:val="23"/>
                <w:szCs w:val="23"/>
              </w:rPr>
              <w:t>济宁医科大学附属医院生殖内科，山东济宁，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4</w:t>
            </w:r>
            <w:r>
              <w:rPr>
                <w:rStyle w:val="any"/>
                <w:rFonts w:ascii="PMingLiU" w:eastAsia="PMingLiU" w:hAnsi="PMingLiU" w:cs="PMingLiU"/>
                <w:b w:val="0"/>
                <w:bCs w:val="0"/>
                <w:i w:val="0"/>
                <w:iCs w:val="0"/>
                <w:caps w:val="0"/>
                <w:smallCaps w:val="0"/>
                <w:color w:val="111111"/>
                <w:spacing w:val="8"/>
                <w:sz w:val="23"/>
                <w:szCs w:val="23"/>
              </w:rPr>
              <w:t>济宁市第一人民医院临床检验科，山东济宁，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5</w:t>
            </w:r>
            <w:r>
              <w:rPr>
                <w:rStyle w:val="any"/>
                <w:rFonts w:ascii="PMingLiU" w:eastAsia="PMingLiU" w:hAnsi="PMingLiU" w:cs="PMingLiU"/>
                <w:b w:val="0"/>
                <w:bCs w:val="0"/>
                <w:i w:val="0"/>
                <w:iCs w:val="0"/>
                <w:caps w:val="0"/>
                <w:smallCaps w:val="0"/>
                <w:color w:val="111111"/>
                <w:spacing w:val="8"/>
                <w:sz w:val="23"/>
                <w:szCs w:val="23"/>
              </w:rPr>
              <w:t>济宁医科大学临床医学院，山东济宁，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r>
              <w:rPr>
                <w:rStyle w:val="any"/>
                <w:rFonts w:ascii="Tahoma" w:eastAsia="Tahoma" w:hAnsi="Tahoma" w:cs="Tahoma"/>
                <w:b w:val="0"/>
                <w:bCs w:val="0"/>
                <w:i w:val="0"/>
                <w:iCs w:val="0"/>
                <w:caps w:val="0"/>
                <w:smallCaps w:val="0"/>
                <w:color w:val="111111"/>
                <w:spacing w:val="8"/>
                <w:sz w:val="23"/>
                <w:szCs w:val="23"/>
              </w:rPr>
              <w:t>6</w:t>
            </w:r>
            <w:r>
              <w:rPr>
                <w:rStyle w:val="any"/>
                <w:rFonts w:ascii="PMingLiU" w:eastAsia="PMingLiU" w:hAnsi="PMingLiU" w:cs="PMingLiU"/>
                <w:b w:val="0"/>
                <w:bCs w:val="0"/>
                <w:i w:val="0"/>
                <w:iCs w:val="0"/>
                <w:caps w:val="0"/>
                <w:smallCaps w:val="0"/>
                <w:color w:val="111111"/>
                <w:spacing w:val="8"/>
                <w:sz w:val="23"/>
                <w:szCs w:val="23"/>
              </w:rPr>
              <w:t>济宁市第一人民医院病理科，山东济宁，</w:t>
            </w:r>
            <w:r>
              <w:rPr>
                <w:rStyle w:val="any"/>
                <w:rFonts w:ascii="Tahoma" w:eastAsia="Tahoma" w:hAnsi="Tahoma" w:cs="Tahoma"/>
                <w:b w:val="0"/>
                <w:bCs w:val="0"/>
                <w:i w:val="0"/>
                <w:iCs w:val="0"/>
                <w:caps w:val="0"/>
                <w:smallCaps w:val="0"/>
                <w:color w:val="111111"/>
                <w:spacing w:val="8"/>
                <w:sz w:val="23"/>
                <w:szCs w:val="23"/>
              </w:rPr>
              <w:t>272000</w:t>
            </w:r>
            <w:r>
              <w:rPr>
                <w:rStyle w:val="any"/>
                <w:rFonts w:ascii="PMingLiU" w:eastAsia="PMingLiU" w:hAnsi="PMingLiU" w:cs="PMingLiU"/>
                <w:b w:val="0"/>
                <w:bCs w:val="0"/>
                <w:i w:val="0"/>
                <w:iCs w:val="0"/>
                <w:caps w:val="0"/>
                <w:smallCaps w:val="0"/>
                <w:color w:val="111111"/>
                <w:spacing w:val="8"/>
                <w:sz w:val="23"/>
                <w:szCs w:val="23"/>
              </w:rPr>
              <w:t>。</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第七篇：</w:t>
            </w:r>
            <w:r>
              <w:rPr>
                <w:rStyle w:val="any"/>
                <w:rFonts w:ascii="Tahoma" w:eastAsia="Tahoma" w:hAnsi="Tahoma" w:cs="Tahoma"/>
                <w:b w:val="0"/>
                <w:bCs w:val="0"/>
                <w:i w:val="0"/>
                <w:iCs w:val="0"/>
                <w:caps w:val="0"/>
                <w:smallCaps w:val="0"/>
                <w:color w:val="111111"/>
                <w:spacing w:val="8"/>
                <w:sz w:val="23"/>
                <w:szCs w:val="23"/>
              </w:rPr>
              <w:t>1</w:t>
            </w:r>
            <w:r>
              <w:rPr>
                <w:rStyle w:val="any"/>
                <w:rFonts w:ascii="PMingLiU" w:eastAsia="PMingLiU" w:hAnsi="PMingLiU" w:cs="PMingLiU"/>
                <w:b w:val="0"/>
                <w:bCs w:val="0"/>
                <w:i w:val="0"/>
                <w:iCs w:val="0"/>
                <w:caps w:val="0"/>
                <w:smallCaps w:val="0"/>
                <w:color w:val="111111"/>
                <w:spacing w:val="8"/>
                <w:sz w:val="23"/>
                <w:szCs w:val="23"/>
              </w:rPr>
              <w:t>上海交通大学上海市第九人民医院血管异常多学科团队介入治疗科，上海。</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上海交通大学医学院上海市第九人民医院神经外科，上海。</w:t>
            </w:r>
            <w:r>
              <w:rPr>
                <w:rStyle w:val="any"/>
                <w:rFonts w:ascii="Tahoma" w:eastAsia="Tahoma" w:hAnsi="Tahoma" w:cs="Tahoma"/>
                <w:b w:val="0"/>
                <w:bCs w:val="0"/>
                <w:i w:val="0"/>
                <w:iCs w:val="0"/>
                <w:caps w:val="0"/>
                <w:smallCaps w:val="0"/>
                <w:color w:val="111111"/>
                <w:spacing w:val="8"/>
                <w:sz w:val="23"/>
                <w:szCs w:val="23"/>
              </w:rPr>
              <w:t>3</w:t>
            </w:r>
            <w:r>
              <w:rPr>
                <w:rStyle w:val="any"/>
                <w:rFonts w:ascii="PMingLiU" w:eastAsia="PMingLiU" w:hAnsi="PMingLiU" w:cs="PMingLiU"/>
                <w:b w:val="0"/>
                <w:bCs w:val="0"/>
                <w:i w:val="0"/>
                <w:iCs w:val="0"/>
                <w:caps w:val="0"/>
                <w:smallCaps w:val="0"/>
                <w:color w:val="111111"/>
                <w:spacing w:val="8"/>
                <w:sz w:val="23"/>
                <w:szCs w:val="23"/>
              </w:rPr>
              <w:t>潍坊医科大学附属医院，潍坊医科大学临床医学院，潍坊。</w:t>
            </w:r>
            <w:r>
              <w:rPr>
                <w:rStyle w:val="any"/>
                <w:rFonts w:ascii="Tahoma" w:eastAsia="Tahoma" w:hAnsi="Tahoma" w:cs="Tahoma"/>
                <w:b w:val="0"/>
                <w:bCs w:val="0"/>
                <w:i w:val="0"/>
                <w:iCs w:val="0"/>
                <w:caps w:val="0"/>
                <w:smallCaps w:val="0"/>
                <w:color w:val="111111"/>
                <w:spacing w:val="8"/>
                <w:sz w:val="23"/>
                <w:szCs w:val="23"/>
              </w:rPr>
              <w:t>4</w:t>
            </w:r>
            <w:r>
              <w:rPr>
                <w:rStyle w:val="any"/>
                <w:rFonts w:ascii="PMingLiU" w:eastAsia="PMingLiU" w:hAnsi="PMingLiU" w:cs="PMingLiU"/>
                <w:b w:val="0"/>
                <w:bCs w:val="0"/>
                <w:i w:val="0"/>
                <w:iCs w:val="0"/>
                <w:caps w:val="0"/>
                <w:smallCaps w:val="0"/>
                <w:color w:val="111111"/>
                <w:spacing w:val="8"/>
                <w:sz w:val="23"/>
                <w:szCs w:val="23"/>
              </w:rPr>
              <w:t>郑州大学第一附属医院肾移植科，郑州，</w:t>
            </w:r>
            <w:r>
              <w:rPr>
                <w:rStyle w:val="any"/>
                <w:rFonts w:ascii="Tahoma" w:eastAsia="Tahoma" w:hAnsi="Tahoma" w:cs="Tahoma"/>
                <w:b w:val="0"/>
                <w:bCs w:val="0"/>
                <w:i w:val="0"/>
                <w:iCs w:val="0"/>
                <w:caps w:val="0"/>
                <w:smallCaps w:val="0"/>
                <w:color w:val="111111"/>
                <w:spacing w:val="8"/>
                <w:sz w:val="23"/>
                <w:szCs w:val="23"/>
              </w:rPr>
              <w:t>5</w:t>
            </w:r>
            <w:r>
              <w:rPr>
                <w:rStyle w:val="any"/>
                <w:rFonts w:ascii="PMingLiU" w:eastAsia="PMingLiU" w:hAnsi="PMingLiU" w:cs="PMingLiU"/>
                <w:b w:val="0"/>
                <w:bCs w:val="0"/>
                <w:i w:val="0"/>
                <w:iCs w:val="0"/>
                <w:caps w:val="0"/>
                <w:smallCaps w:val="0"/>
                <w:color w:val="111111"/>
                <w:spacing w:val="8"/>
                <w:sz w:val="23"/>
                <w:szCs w:val="23"/>
              </w:rPr>
              <w:t>上海交通大学附属第六人民医院肾内科，上海。</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Tahoma" w:eastAsia="Tahoma" w:hAnsi="Tahoma" w:cs="Tahoma"/>
                <w:b w:val="0"/>
                <w:bCs w:val="0"/>
                <w:i w:val="0"/>
                <w:iCs w:val="0"/>
                <w:caps w:val="0"/>
                <w:smallCaps w:val="0"/>
                <w:color w:val="111111"/>
                <w:spacing w:val="8"/>
                <w:sz w:val="23"/>
                <w:szCs w:val="23"/>
              </w:rPr>
              <w:t>                  </w:t>
            </w:r>
          </w:p>
          <w:p>
            <w:pPr>
              <w:pStyle w:val="p"/>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Times New Roman" w:eastAsia="Times New Roman" w:hAnsi="Times New Roman" w:cs="Times New Roman"/>
                <w:b w:val="0"/>
                <w:bCs w:val="0"/>
                <w:i w:val="0"/>
                <w:iCs w:val="0"/>
                <w:smallCaps w:val="0"/>
                <w:color w:val="000000"/>
                <w:spacing w:val="8"/>
              </w:rPr>
              <w:t> </w:t>
            </w:r>
          </w:p>
        </w:tc>
      </w:tr>
      <w:tr>
        <w:tblPrEx>
          <w:tblW w:w="5000" w:type="pct"/>
          <w:tblInd w:w="455" w:type="dxa"/>
          <w:tblCellMar>
            <w:top w:w="0" w:type="dxa"/>
            <w:left w:w="0" w:type="dxa"/>
            <w:bottom w:w="0" w:type="dxa"/>
            <w:right w:w="0" w:type="dxa"/>
          </w:tblCellMar>
          <w:tblLook w:val="05E0"/>
        </w:tblPrEx>
        <w:trPr>
          <w:trHeight w:val="638"/>
        </w:trPr>
        <w:tc>
          <w:tcPr>
            <w:tcW w:w="8820" w:type="dxa"/>
            <w:gridSpan w:val="2"/>
            <w:tcBorders>
              <w:top w:val="single" w:sz="8" w:space="0" w:color="DDDDDD"/>
              <w:bottom w:val="single" w:sz="8" w:space="0" w:color="DDDDDD"/>
            </w:tcBorders>
            <w:noWrap w:val="0"/>
            <w:tcMar>
              <w:top w:w="85" w:type="dxa"/>
              <w:left w:w="155" w:type="dxa"/>
              <w:bottom w:w="85" w:type="dxa"/>
              <w:right w:w="155"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center"/>
              <w:rPr>
                <w:rStyle w:val="any"/>
                <w:rFonts w:ascii="Calibri" w:eastAsia="Calibri" w:hAnsi="Calibri" w:cs="Calibri"/>
                <w:b w:val="0"/>
                <w:bCs w:val="0"/>
                <w:i w:val="0"/>
                <w:iCs w:val="0"/>
                <w:smallCaps w:val="0"/>
                <w:color w:val="000000"/>
                <w:spacing w:val="8"/>
              </w:rPr>
            </w:pPr>
            <w:r>
              <w:rPr>
                <w:rStyle w:val="any"/>
                <w:rFonts w:ascii="黑体" w:eastAsia="黑体" w:hAnsi="黑体" w:cs="黑体"/>
                <w:b/>
                <w:bCs/>
                <w:i w:val="0"/>
                <w:iCs w:val="0"/>
                <w:caps w:val="0"/>
                <w:smallCaps w:val="0"/>
                <w:color w:val="11428A"/>
                <w:spacing w:val="8"/>
                <w:sz w:val="30"/>
                <w:szCs w:val="30"/>
                <w:vertAlign w:val="baseline"/>
              </w:rPr>
              <w:t>具 体 撤 稿 情 况</w:t>
            </w:r>
          </w:p>
        </w:tc>
      </w:tr>
      <w:tr>
        <w:tblPrEx>
          <w:tblW w:w="5000" w:type="pct"/>
          <w:tblInd w:w="455" w:type="dxa"/>
          <w:tblCellMar>
            <w:top w:w="0" w:type="dxa"/>
            <w:left w:w="0" w:type="dxa"/>
            <w:bottom w:w="0" w:type="dxa"/>
            <w:right w:w="0" w:type="dxa"/>
          </w:tblCellMar>
          <w:tblLook w:val="05E0"/>
        </w:tblPrEx>
        <w:trPr>
          <w:trHeight w:val="638"/>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撤稿杂志</w:t>
            </w:r>
            <w:r>
              <w:rPr>
                <w:rStyle w:val="any"/>
                <w:rFonts w:ascii="Calibri" w:eastAsia="Calibri" w:hAnsi="Calibri" w:cs="Calibri"/>
                <w:b w:val="0"/>
                <w:bCs w:val="0"/>
                <w:i w:val="0"/>
                <w:iCs w:val="0"/>
                <w:smallCaps w:val="0"/>
                <w:color w:val="000000"/>
                <w:spacing w:val="8"/>
              </w:rPr>
              <w:t>        </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b w:val="0"/>
                <w:bCs w:val="0"/>
                <w:i w:val="0"/>
                <w:iCs w:val="0"/>
                <w:caps w:val="0"/>
                <w:smallCaps w:val="0"/>
                <w:color w:val="111111"/>
                <w:spacing w:val="8"/>
                <w:sz w:val="21"/>
                <w:szCs w:val="21"/>
              </w:rPr>
              <w:t>Heliyon</w:t>
            </w:r>
          </w:p>
        </w:tc>
      </w:tr>
      <w:tr>
        <w:tblPrEx>
          <w:tblW w:w="5000" w:type="pct"/>
          <w:tblInd w:w="455" w:type="dxa"/>
          <w:tblCellMar>
            <w:top w:w="0" w:type="dxa"/>
            <w:left w:w="0" w:type="dxa"/>
            <w:bottom w:w="0" w:type="dxa"/>
            <w:right w:w="0" w:type="dxa"/>
          </w:tblCellMar>
          <w:tblLook w:val="05E0"/>
        </w:tblPrEx>
        <w:trPr>
          <w:trHeight w:val="661"/>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撤稿原因</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val="0"/>
                <w:bCs w:val="0"/>
                <w:i w:val="0"/>
                <w:iCs w:val="0"/>
                <w:caps w:val="0"/>
                <w:smallCaps w:val="0"/>
                <w:color w:val="111111"/>
                <w:spacing w:val="8"/>
                <w:sz w:val="21"/>
                <w:szCs w:val="21"/>
              </w:rPr>
              <w:t>接受后变更作者</w:t>
            </w:r>
          </w:p>
        </w:tc>
      </w:tr>
      <w:tr>
        <w:tblPrEx>
          <w:tblW w:w="5000" w:type="pct"/>
          <w:tblInd w:w="455" w:type="dxa"/>
          <w:tblCellMar>
            <w:top w:w="0" w:type="dxa"/>
            <w:left w:w="0" w:type="dxa"/>
            <w:bottom w:w="0" w:type="dxa"/>
            <w:right w:w="0" w:type="dxa"/>
          </w:tblCellMar>
          <w:tblLook w:val="05E0"/>
        </w:tblPrEx>
        <w:trPr>
          <w:trHeight w:val="6292"/>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撤稿声明</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第一篇：</w:t>
            </w:r>
            <w:r>
              <w:rPr>
                <w:rStyle w:val="any"/>
                <w:rFonts w:ascii="PMingLiU" w:eastAsia="PMingLiU" w:hAnsi="PMingLiU" w:cs="PMingLiU"/>
                <w:b w:val="0"/>
                <w:bCs w:val="0"/>
                <w:i w:val="0"/>
                <w:iCs w:val="0"/>
                <w:caps w:val="0"/>
                <w:smallCaps w:val="0"/>
                <w:color w:val="111111"/>
                <w:spacing w:val="8"/>
                <w:sz w:val="21"/>
                <w:szCs w:val="21"/>
              </w:rPr>
              <w:t>发表后，爱思唯尔研究诚信与出版伦理团队代表该期刊进行的一项调查发现，在接受本文后，作者身份发生了可疑变化。在被接受后，作者</w:t>
            </w:r>
            <w:r>
              <w:rPr>
                <w:rStyle w:val="any"/>
                <w:b w:val="0"/>
                <w:bCs w:val="0"/>
                <w:i w:val="0"/>
                <w:iCs w:val="0"/>
                <w:caps w:val="0"/>
                <w:smallCaps w:val="0"/>
                <w:color w:val="111111"/>
                <w:spacing w:val="8"/>
                <w:sz w:val="21"/>
                <w:szCs w:val="21"/>
              </w:rPr>
              <w:t>××</w:t>
            </w:r>
            <w:r>
              <w:rPr>
                <w:rStyle w:val="any"/>
                <w:rFonts w:ascii="PMingLiU" w:eastAsia="PMingLiU" w:hAnsi="PMingLiU" w:cs="PMingLiU"/>
                <w:b w:val="0"/>
                <w:bCs w:val="0"/>
                <w:i w:val="0"/>
                <w:iCs w:val="0"/>
                <w:caps w:val="0"/>
                <w:smallCaps w:val="0"/>
                <w:color w:val="111111"/>
                <w:spacing w:val="8"/>
                <w:sz w:val="21"/>
                <w:szCs w:val="21"/>
              </w:rPr>
              <w:t>、</w:t>
            </w:r>
            <w:r>
              <w:rPr>
                <w:rStyle w:val="any"/>
                <w:b w:val="0"/>
                <w:bCs w:val="0"/>
                <w:i w:val="0"/>
                <w:iCs w:val="0"/>
                <w:caps w:val="0"/>
                <w:smallCaps w:val="0"/>
                <w:color w:val="111111"/>
                <w:spacing w:val="8"/>
                <w:sz w:val="21"/>
                <w:szCs w:val="21"/>
              </w:rPr>
              <w:t>××</w:t>
            </w:r>
            <w:r>
              <w:rPr>
                <w:rStyle w:val="any"/>
                <w:rFonts w:ascii="PMingLiU" w:eastAsia="PMingLiU" w:hAnsi="PMingLiU" w:cs="PMingLiU"/>
                <w:b w:val="0"/>
                <w:bCs w:val="0"/>
                <w:i w:val="0"/>
                <w:iCs w:val="0"/>
                <w:caps w:val="0"/>
                <w:smallCaps w:val="0"/>
                <w:color w:val="111111"/>
                <w:spacing w:val="8"/>
                <w:sz w:val="21"/>
                <w:szCs w:val="21"/>
              </w:rPr>
              <w:t>在没有充分解释的情况下被添加到论文中，这违反了期刊关于作者变更的政策。编辑已确定该文章的作者身份和调查结果不可靠，并决定撤回该文章。</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第二篇：</w:t>
            </w:r>
            <w:r>
              <w:rPr>
                <w:rStyle w:val="any"/>
                <w:rFonts w:ascii="PMingLiU" w:eastAsia="PMingLiU" w:hAnsi="PMingLiU" w:cs="PMingLiU"/>
                <w:b w:val="0"/>
                <w:bCs w:val="0"/>
                <w:i w:val="0"/>
                <w:iCs w:val="0"/>
                <w:caps w:val="0"/>
                <w:smallCaps w:val="0"/>
                <w:color w:val="111111"/>
                <w:spacing w:val="8"/>
                <w:sz w:val="23"/>
                <w:szCs w:val="23"/>
              </w:rPr>
              <w:t>发表后，爱思唯尔研究诚信与出版伦理团队代表该期刊进行的一项调查发现，本文的原始提交和修订版本之间的作者身份发生了实质性变化。在修订过程中，作者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在没有充分解释的情况下被添加到修订论文中。编辑不相信文章的所有作者都有资格成为作者，因此对文章的有效性</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完整性失去了信心，并决定撤回。</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第三</w:t>
            </w:r>
            <w:r>
              <w:rPr>
                <w:rStyle w:val="any"/>
                <w:rFonts w:ascii="PMingLiU" w:eastAsia="PMingLiU" w:hAnsi="PMingLiU" w:cs="PMingLiU"/>
                <w:b/>
                <w:bCs/>
                <w:i w:val="0"/>
                <w:iCs w:val="0"/>
                <w:caps w:val="0"/>
                <w:smallCaps w:val="0"/>
                <w:color w:val="FF0000"/>
                <w:spacing w:val="8"/>
                <w:sz w:val="21"/>
                <w:szCs w:val="21"/>
              </w:rPr>
              <w:t>篇：</w:t>
            </w:r>
            <w:r>
              <w:rPr>
                <w:rStyle w:val="any"/>
                <w:rFonts w:ascii="PMingLiU" w:eastAsia="PMingLiU" w:hAnsi="PMingLiU" w:cs="PMingLiU"/>
                <w:b w:val="0"/>
                <w:bCs w:val="0"/>
                <w:i w:val="0"/>
                <w:iCs w:val="0"/>
                <w:caps w:val="0"/>
                <w:smallCaps w:val="0"/>
                <w:color w:val="111111"/>
                <w:spacing w:val="8"/>
                <w:sz w:val="23"/>
                <w:szCs w:val="23"/>
              </w:rPr>
              <w:t>发表后，爱思唯尔研究诚信与出版伦理团队代表该期刊进行的一项调查发现，本文的原始提交和修订版本之间的作者身份发生了实质性变化。在修订过程中，作者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被添加到修订后的论文中，但没有得到充分的解释。此外，在修订过程中删除了</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名作者。编辑不相信文章的所有作者都有资格成为作者，因此对文章的有效性</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完整性失去了信心，并决定撤回。</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第四篇：</w:t>
            </w:r>
            <w:r>
              <w:rPr>
                <w:rStyle w:val="any"/>
                <w:rFonts w:ascii="PMingLiU" w:eastAsia="PMingLiU" w:hAnsi="PMingLiU" w:cs="PMingLiU"/>
                <w:b w:val="0"/>
                <w:bCs w:val="0"/>
                <w:i w:val="0"/>
                <w:iCs w:val="0"/>
                <w:caps w:val="0"/>
                <w:smallCaps w:val="0"/>
                <w:color w:val="111111"/>
                <w:spacing w:val="8"/>
                <w:sz w:val="23"/>
                <w:szCs w:val="23"/>
              </w:rPr>
              <w:t>发表后，爱思唯尔研究诚信与出版伦理团队代表该期刊进行的一项调查发现，在接受本文后，作者身份发生了可疑变化。在被接受后，作者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在没有充分解释的情况下被添加到论文中，这违反了期刊关于修改作者的政策。编辑已确定该文章的作者身份和调查结果不可靠，并决定撤回该文章。</w:t>
            </w:r>
            <w:r>
              <w:rPr>
                <w:rStyle w:val="any"/>
                <w:rFonts w:ascii="Calibri" w:eastAsia="Calibri" w:hAnsi="Calibri" w:cs="Calibri"/>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第五篇：</w:t>
            </w:r>
            <w:r>
              <w:rPr>
                <w:rStyle w:val="any"/>
                <w:rFonts w:ascii="PMingLiU" w:eastAsia="PMingLiU" w:hAnsi="PMingLiU" w:cs="PMingLiU"/>
                <w:b w:val="0"/>
                <w:bCs w:val="0"/>
                <w:i w:val="0"/>
                <w:iCs w:val="0"/>
                <w:caps w:val="0"/>
                <w:smallCaps w:val="0"/>
                <w:color w:val="111111"/>
                <w:spacing w:val="8"/>
                <w:sz w:val="23"/>
                <w:szCs w:val="23"/>
              </w:rPr>
              <w:t>发表后，爱思唯尔研究诚信与出版伦理团队代表该期刊进行的一项调查发现，在接受本文后，作者身份发生了可疑变化。接受后，作者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被添加到论文中，一位作者在没有充分解释的情况下被删除，这违反了期刊关于作者变更的政策。编辑已确定该文章的作者身份和调查结果不可靠，并决定撤回该文章。</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第六篇：</w:t>
            </w:r>
            <w:r>
              <w:rPr>
                <w:rStyle w:val="any"/>
                <w:rFonts w:ascii="PMingLiU" w:eastAsia="PMingLiU" w:hAnsi="PMingLiU" w:cs="PMingLiU"/>
                <w:b w:val="0"/>
                <w:bCs w:val="0"/>
                <w:i w:val="0"/>
                <w:iCs w:val="0"/>
                <w:caps w:val="0"/>
                <w:smallCaps w:val="0"/>
                <w:color w:val="111111"/>
                <w:spacing w:val="8"/>
                <w:sz w:val="23"/>
                <w:szCs w:val="23"/>
              </w:rPr>
              <w:t>应编辑要求，本文已被撤回。发表后，爱思唯尔研究诚信与出版伦理团队代表该期刊进行的一项调查发现，本文的原始提交和修订版本之间的作者身份发生了实质性变化。在修订过程中，作者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被添加到修订后的论文中，但没有得到充分的解释。此外，在修订过程中删除了</w:t>
            </w:r>
            <w:r>
              <w:rPr>
                <w:rStyle w:val="any"/>
                <w:rFonts w:ascii="Tahoma" w:eastAsia="Tahoma" w:hAnsi="Tahoma" w:cs="Tahoma"/>
                <w:b w:val="0"/>
                <w:bCs w:val="0"/>
                <w:i w:val="0"/>
                <w:iCs w:val="0"/>
                <w:caps w:val="0"/>
                <w:smallCaps w:val="0"/>
                <w:color w:val="111111"/>
                <w:spacing w:val="8"/>
                <w:sz w:val="23"/>
                <w:szCs w:val="23"/>
              </w:rPr>
              <w:t>2</w:t>
            </w:r>
            <w:r>
              <w:rPr>
                <w:rStyle w:val="any"/>
                <w:rFonts w:ascii="PMingLiU" w:eastAsia="PMingLiU" w:hAnsi="PMingLiU" w:cs="PMingLiU"/>
                <w:b w:val="0"/>
                <w:bCs w:val="0"/>
                <w:i w:val="0"/>
                <w:iCs w:val="0"/>
                <w:caps w:val="0"/>
                <w:smallCaps w:val="0"/>
                <w:color w:val="111111"/>
                <w:spacing w:val="8"/>
                <w:sz w:val="23"/>
                <w:szCs w:val="23"/>
              </w:rPr>
              <w:t>名作者。编辑不相信文章的所有作者都有资格成为作者，因此对文章的有效性</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完整性失去了信心，并决定撤回。</w:t>
            </w:r>
          </w:p>
          <w:p>
            <w:pPr>
              <w:pStyle w:val="p"/>
              <w:pBdr>
                <w:top w:val="none" w:sz="0" w:space="0" w:color="auto"/>
                <w:left w:val="none" w:sz="0" w:space="0" w:color="auto"/>
                <w:bottom w:val="none" w:sz="0" w:space="0" w:color="auto"/>
                <w:right w:val="none" w:sz="0" w:space="0" w:color="auto"/>
              </w:pBdr>
              <w:spacing w:before="0" w:after="0" w:line="360" w:lineRule="auto"/>
              <w:ind w:left="0" w:right="0" w:firstLine="0"/>
              <w:jc w:val="left"/>
              <w:rPr>
                <w:rStyle w:val="any"/>
                <w:rFonts w:ascii="Calibri" w:eastAsia="Calibri" w:hAnsi="Calibri" w:cs="Calibri"/>
                <w:b w:val="0"/>
                <w:bCs w:val="0"/>
                <w:i w:val="0"/>
                <w:iCs w:val="0"/>
                <w:smallCaps w:val="0"/>
                <w:color w:val="000000"/>
                <w:spacing w:val="8"/>
              </w:rPr>
            </w:pPr>
            <w:r>
              <w:rPr>
                <w:rStyle w:val="any"/>
                <w:rFonts w:ascii="PMingLiU" w:eastAsia="PMingLiU" w:hAnsi="PMingLiU" w:cs="PMingLiU"/>
                <w:b/>
                <w:bCs/>
                <w:i w:val="0"/>
                <w:iCs w:val="0"/>
                <w:caps w:val="0"/>
                <w:smallCaps w:val="0"/>
                <w:color w:val="FF0000"/>
                <w:spacing w:val="8"/>
                <w:sz w:val="21"/>
                <w:szCs w:val="21"/>
              </w:rPr>
              <w:t>第七篇：</w:t>
            </w:r>
            <w:r>
              <w:rPr>
                <w:rStyle w:val="any"/>
                <w:rFonts w:ascii="PMingLiU" w:eastAsia="PMingLiU" w:hAnsi="PMingLiU" w:cs="PMingLiU"/>
                <w:b w:val="0"/>
                <w:bCs w:val="0"/>
                <w:i w:val="0"/>
                <w:iCs w:val="0"/>
                <w:caps w:val="0"/>
                <w:smallCaps w:val="0"/>
                <w:color w:val="111111"/>
                <w:spacing w:val="8"/>
                <w:sz w:val="23"/>
                <w:szCs w:val="23"/>
              </w:rPr>
              <w:t>发表后，爱思唯尔研究诚信与出版伦理团队代表该期刊进行的一项调查发现，在接受本文后，作者身份发生了可疑变化。在被接受后，作者</w:t>
            </w:r>
            <w:r>
              <w:rPr>
                <w:rStyle w:val="any"/>
                <w:rFonts w:ascii="Tahoma" w:eastAsia="Tahoma" w:hAnsi="Tahoma" w:cs="Tahoma"/>
                <w:b w:val="0"/>
                <w:bCs w:val="0"/>
                <w:i w:val="0"/>
                <w:iCs w:val="0"/>
                <w:caps w:val="0"/>
                <w:smallCaps w:val="0"/>
                <w:color w:val="111111"/>
                <w:spacing w:val="8"/>
                <w:sz w:val="23"/>
                <w:szCs w:val="23"/>
              </w:rPr>
              <w:t>×××</w:t>
            </w:r>
            <w:r>
              <w:rPr>
                <w:rStyle w:val="any"/>
                <w:rFonts w:ascii="PMingLiU" w:eastAsia="PMingLiU" w:hAnsi="PMingLiU" w:cs="PMingLiU"/>
                <w:b w:val="0"/>
                <w:bCs w:val="0"/>
                <w:i w:val="0"/>
                <w:iCs w:val="0"/>
                <w:caps w:val="0"/>
                <w:smallCaps w:val="0"/>
                <w:color w:val="111111"/>
                <w:spacing w:val="8"/>
                <w:sz w:val="23"/>
                <w:szCs w:val="23"/>
              </w:rPr>
              <w:t>在没有充分解释的情况下被添加到论文中，这违反了期刊关于作者变更的政策。编辑已确定该文章的作者身份和调查结果不可靠，并决定撤回该文章。</w:t>
            </w:r>
            <w:r>
              <w:rPr>
                <w:rStyle w:val="any"/>
                <w:rFonts w:ascii="Calibri" w:eastAsia="Calibri" w:hAnsi="Calibri" w:cs="Calibri"/>
                <w:b w:val="0"/>
                <w:bCs w:val="0"/>
                <w:i w:val="0"/>
                <w:iCs w:val="0"/>
                <w:smallCaps w:val="0"/>
                <w:color w:val="000000"/>
                <w:spacing w:val="8"/>
              </w:rPr>
              <w:t>        </w:t>
            </w:r>
          </w:p>
        </w:tc>
      </w:tr>
      <w:tr>
        <w:tblPrEx>
          <w:tblW w:w="5000" w:type="pct"/>
          <w:tblInd w:w="455" w:type="dxa"/>
          <w:tblCellMar>
            <w:top w:w="0" w:type="dxa"/>
            <w:left w:w="0" w:type="dxa"/>
            <w:bottom w:w="0" w:type="dxa"/>
            <w:right w:w="0" w:type="dxa"/>
          </w:tblCellMar>
          <w:tblLook w:val="05E0"/>
        </w:tblPrEx>
        <w:trPr>
          <w:trHeight w:val="6586"/>
        </w:trPr>
        <w:tc>
          <w:tcPr>
            <w:tcW w:w="2870"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宋体" w:eastAsia="宋体" w:hAnsi="宋体" w:cs="宋体"/>
                <w:b/>
                <w:bCs/>
                <w:i w:val="0"/>
                <w:iCs w:val="0"/>
                <w:caps w:val="0"/>
                <w:smallCaps w:val="0"/>
                <w:color w:val="000000"/>
                <w:spacing w:val="8"/>
                <w:sz w:val="28"/>
                <w:szCs w:val="28"/>
                <w:vertAlign w:val="baseline"/>
              </w:rPr>
              <w:t>撤稿声明图片</w:t>
            </w:r>
          </w:p>
        </w:tc>
        <w:tc>
          <w:tcPr>
            <w:tcW w:w="6305" w:type="dxa"/>
            <w:tcBorders>
              <w:top w:val="single" w:sz="8" w:space="0" w:color="000000"/>
              <w:left w:val="single" w:sz="8" w:space="0" w:color="000000"/>
              <w:bottom w:val="single" w:sz="8" w:space="0" w:color="000000"/>
              <w:right w:val="single" w:sz="8" w:space="0" w:color="000000"/>
            </w:tcBorders>
            <w:noWrap w:val="0"/>
            <w:tcMar>
              <w:top w:w="85" w:type="dxa"/>
              <w:left w:w="160" w:type="dxa"/>
              <w:bottom w:w="85" w:type="dxa"/>
              <w:right w:w="160" w:type="dxa"/>
            </w:tcMar>
            <w:vAlign w:val="top"/>
            <w:hideMark/>
          </w:tcPr>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vertAlign w:val="baseline"/>
              </w:rPr>
              <w:drawing>
                <wp:inline>
                  <wp:extent cx="3655123" cy="14960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04282" name=""/>
                          <pic:cNvPicPr>
                            <a:picLocks noChangeAspect="1"/>
                          </pic:cNvPicPr>
                        </pic:nvPicPr>
                        <pic:blipFill>
                          <a:blip xmlns:r="http://schemas.openxmlformats.org/officeDocument/2006/relationships" r:embed="rId7"/>
                          <a:stretch>
                            <a:fillRect/>
                          </a:stretch>
                        </pic:blipFill>
                        <pic:spPr>
                          <a:xfrm>
                            <a:off x="0" y="0"/>
                            <a:ext cx="3655123" cy="14960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color w:val="000000"/>
                <w:spacing w:val="8"/>
                <w:vertAlign w:val="baseline"/>
              </w:rPr>
              <w:t>                  </w:t>
            </w:r>
          </w:p>
          <w:p>
            <w:pPr>
              <w:pStyle w:val="p"/>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Times New Roman" w:eastAsia="Times New Roman" w:hAnsi="Times New Roman" w:cs="Times New Roman"/>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vertAlign w:val="baseline"/>
              </w:rPr>
              <w:drawing>
                <wp:inline>
                  <wp:extent cx="3654457" cy="142055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90461" name=""/>
                          <pic:cNvPicPr>
                            <a:picLocks noChangeAspect="1"/>
                          </pic:cNvPicPr>
                        </pic:nvPicPr>
                        <pic:blipFill>
                          <a:blip xmlns:r="http://schemas.openxmlformats.org/officeDocument/2006/relationships" r:embed="rId8"/>
                          <a:stretch>
                            <a:fillRect/>
                          </a:stretch>
                        </pic:blipFill>
                        <pic:spPr>
                          <a:xfrm>
                            <a:off x="0" y="0"/>
                            <a:ext cx="3654457" cy="14205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color w:val="000000"/>
                <w:spacing w:val="8"/>
                <w:vertAlign w:val="baseline"/>
              </w:rPr>
              <w:t>                  </w:t>
            </w:r>
          </w:p>
          <w:p>
            <w:pPr>
              <w:pStyle w:val="p"/>
              <w:pBdr>
                <w:top w:val="none" w:sz="0" w:space="0" w:color="auto"/>
                <w:left w:val="none" w:sz="0" w:space="0" w:color="auto"/>
                <w:bottom w:val="none" w:sz="0" w:space="0" w:color="auto"/>
                <w:right w:val="none" w:sz="0" w:space="0" w:color="auto"/>
              </w:pBdr>
              <w:spacing w:before="0" w:after="0"/>
              <w:ind w:left="0" w:right="0"/>
              <w:rPr>
                <w:rStyle w:val="any"/>
                <w:rFonts w:ascii="Times New Roman" w:eastAsia="Times New Roman" w:hAnsi="Times New Roman" w:cs="Times New Roman"/>
                <w:b w:val="0"/>
                <w:bCs w:val="0"/>
                <w:i w:val="0"/>
                <w:iCs w:val="0"/>
                <w:smallCaps w:val="0"/>
                <w:color w:val="000000"/>
                <w:spacing w:val="8"/>
              </w:rPr>
            </w:pPr>
            <w:r>
              <w:rPr>
                <w:rStyle w:val="any"/>
                <w:rFonts w:ascii="Times New Roman" w:eastAsia="Times New Roman" w:hAnsi="Times New Roman" w:cs="Times New Roman"/>
                <w:b w:val="0"/>
                <w:bCs w:val="0"/>
                <w:i w:val="0"/>
                <w:iCs w:val="0"/>
                <w:smallCaps w:val="0"/>
                <w:color w:val="000000"/>
                <w:spacing w:val="8"/>
              </w:rPr>
              <w:t> </w:t>
            </w:r>
          </w:p>
          <w:p>
            <w:pPr>
              <w:rPr>
                <w:rStyle w:val="any"/>
                <w:rFonts w:ascii="Times New Roman" w:eastAsia="Times New Roman" w:hAnsi="Times New Roman" w:cs="Times New Roman"/>
                <w:b w:val="0"/>
                <w:bCs w:val="0"/>
                <w:i w:val="0"/>
                <w:iCs w:val="0"/>
                <w:smallCaps w:val="0"/>
                <w:color w:val="000000"/>
                <w:spacing w:val="8"/>
              </w:rPr>
            </w:pPr>
            <w:r>
              <w:rPr>
                <w:rStyle w:val="any"/>
                <w:rFonts w:ascii="Times New Roman" w:eastAsia="Times New Roman" w:hAnsi="Times New Roman" w:cs="Times New Roman"/>
                <w:b w:val="0"/>
                <w:bCs w:val="0"/>
                <w:i w:val="0"/>
                <w:iCs w:val="0"/>
                <w:smallCaps w:val="0"/>
                <w:color w:val="000000"/>
                <w:spacing w:val="8"/>
              </w:rPr>
              <w:t>        </w:t>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vertAlign w:val="baseline"/>
              </w:rPr>
              <w:drawing>
                <wp:inline>
                  <wp:extent cx="3654457" cy="203139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95928" name=""/>
                          <pic:cNvPicPr>
                            <a:picLocks noChangeAspect="1"/>
                          </pic:cNvPicPr>
                        </pic:nvPicPr>
                        <pic:blipFill>
                          <a:blip xmlns:r="http://schemas.openxmlformats.org/officeDocument/2006/relationships" r:embed="rId9"/>
                          <a:stretch>
                            <a:fillRect/>
                          </a:stretch>
                        </pic:blipFill>
                        <pic:spPr>
                          <a:xfrm>
                            <a:off x="0" y="0"/>
                            <a:ext cx="3654457" cy="20313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vertAlign w:val="baseline"/>
              </w:rPr>
              <w:drawing>
                <wp:inline>
                  <wp:extent cx="3653885" cy="198186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37743" name=""/>
                          <pic:cNvPicPr>
                            <a:picLocks noChangeAspect="1"/>
                          </pic:cNvPicPr>
                        </pic:nvPicPr>
                        <pic:blipFill>
                          <a:blip xmlns:r="http://schemas.openxmlformats.org/officeDocument/2006/relationships" r:embed="rId10"/>
                          <a:stretch>
                            <a:fillRect/>
                          </a:stretch>
                        </pic:blipFill>
                        <pic:spPr>
                          <a:xfrm>
                            <a:off x="0" y="0"/>
                            <a:ext cx="3653885" cy="198186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0" w:right="0" w:firstLine="0"/>
              <w:jc w:val="left"/>
              <w:rPr>
                <w:rStyle w:val="any"/>
                <w:rFonts w:ascii="Calibri" w:eastAsia="Calibri" w:hAnsi="Calibri" w:cs="Calibri"/>
                <w:b w:val="0"/>
                <w:bCs w:val="0"/>
                <w:i w:val="0"/>
                <w:iCs w:val="0"/>
                <w:smallCaps w:val="0"/>
                <w:color w:val="000000"/>
                <w:spacing w:val="8"/>
              </w:rPr>
            </w:pPr>
            <w:r>
              <w:rPr>
                <w:rStyle w:val="any"/>
                <w:rFonts w:ascii="Calibri" w:eastAsia="Calibri" w:hAnsi="Calibri" w:cs="Calibri"/>
                <w:b w:val="0"/>
                <w:bCs w:val="0"/>
                <w:i w:val="0"/>
                <w:iCs w:val="0"/>
                <w:caps w:val="0"/>
                <w:smallCaps w:val="0"/>
                <w:strike w:val="0"/>
                <w:color w:val="000000"/>
                <w:spacing w:val="8"/>
                <w:u w:val="none"/>
                <w:vertAlign w:val="baseline"/>
              </w:rPr>
              <w:drawing>
                <wp:inline>
                  <wp:extent cx="3654457" cy="176088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92456" name=""/>
                          <pic:cNvPicPr>
                            <a:picLocks noChangeAspect="1"/>
                          </pic:cNvPicPr>
                        </pic:nvPicPr>
                        <pic:blipFill>
                          <a:blip xmlns:r="http://schemas.openxmlformats.org/officeDocument/2006/relationships" r:embed="rId11"/>
                          <a:stretch>
                            <a:fillRect/>
                          </a:stretch>
                        </pic:blipFill>
                        <pic:spPr>
                          <a:xfrm>
                            <a:off x="0" y="0"/>
                            <a:ext cx="3654457" cy="1760887"/>
                          </a:xfrm>
                          <a:prstGeom prst="rect">
                            <a:avLst/>
                          </a:prstGeom>
                        </pic:spPr>
                      </pic:pic>
                    </a:graphicData>
                  </a:graphic>
                </wp:inline>
              </w:drawing>
            </w:r>
          </w:p>
        </w:tc>
      </w:tr>
    </w:tbl>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strike w:val="0"/>
          <w:spacing w:val="8"/>
          <w:u w:val="none"/>
        </w:rPr>
        <w:drawing>
          <wp:inline>
            <wp:extent cx="1920904" cy="95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73959" name=""/>
                    <pic:cNvPicPr>
                      <a:picLocks noChangeAspect="1"/>
                    </pic:cNvPicPr>
                  </pic:nvPicPr>
                  <pic:blipFill>
                    <a:blip xmlns:r="http://schemas.openxmlformats.org/officeDocument/2006/relationships" r:embed="rId12"/>
                    <a:stretch>
                      <a:fillRect/>
                    </a:stretch>
                  </pic:blipFill>
                  <pic:spPr>
                    <a:xfrm>
                      <a:off x="0" y="0"/>
                      <a:ext cx="1920904" cy="9525"/>
                    </a:xfrm>
                    <a:prstGeom prst="rect">
                      <a:avLst/>
                    </a:prstGeom>
                  </pic:spPr>
                </pic:pic>
              </a:graphicData>
            </a:graphic>
          </wp:inline>
        </w:drawing>
      </w:r>
      <w:r>
        <w:rPr>
          <w:rStyle w:val="any"/>
          <w:rFonts w:ascii="Calibri" w:eastAsia="Calibri" w:hAnsi="Calibri" w:cs="Calibri"/>
          <w:b w:val="0"/>
          <w:bCs w:val="0"/>
          <w:caps w:val="0"/>
          <w:smallCaps w:val="0"/>
          <w:spacing w:val="8"/>
        </w:rPr>
        <w:t>    </w:t>
      </w:r>
      <w:r>
        <w:rPr>
          <w:rStyle w:val="any"/>
          <w:rFonts w:ascii="Calibri" w:eastAsia="Calibri" w:hAnsi="Calibri" w:cs="Calibri"/>
          <w:b w:val="0"/>
          <w:bCs w:val="0"/>
          <w:caps w:val="0"/>
          <w:smallCaps w:val="0"/>
          <w:spacing w:val="8"/>
          <w:lang w:val="en-US" w:eastAsia="en-US"/>
        </w:rPr>
        <w:t>       </w:t>
      </w:r>
      <w:r>
        <w:rPr>
          <w:rStyle w:val="any"/>
          <w:rFonts w:ascii="Calibri" w:eastAsia="Calibri" w:hAnsi="Calibri" w:cs="Calibri"/>
          <w:b w:val="0"/>
          <w:bCs w:val="0"/>
          <w:caps w:val="0"/>
          <w:smallCaps w:val="0"/>
          <w:spacing w:val="8"/>
        </w:rPr>
        <w:t>                    </w:t>
      </w:r>
      <w:r>
        <w:rPr>
          <w:rStyle w:val="any"/>
          <w:b w:val="0"/>
          <w:bCs w:val="0"/>
          <w:caps w:val="0"/>
          <w:smallCaps w:val="0"/>
          <w:spacing w:val="8"/>
        </w:rPr>
        <w:t>END </w:t>
      </w:r>
      <w:r>
        <w:rPr>
          <w:rStyle w:val="any"/>
          <w:rFonts w:ascii="Calibri" w:eastAsia="Calibri" w:hAnsi="Calibri" w:cs="Calibri"/>
          <w:b w:val="0"/>
          <w:bCs w:val="0"/>
          <w:spacing w:val="8"/>
        </w:rPr>
        <w:t>    </w:t>
      </w:r>
    </w:p>
    <w:p>
      <w:pPr>
        <w:pStyle w:val="p"/>
        <w:pBdr>
          <w:top w:val="none" w:sz="0" w:space="0" w:color="auto"/>
          <w:left w:val="none" w:sz="0" w:space="0" w:color="auto"/>
          <w:bottom w:val="none" w:sz="0" w:space="0" w:color="auto"/>
          <w:right w:val="none" w:sz="0" w:space="0" w:color="auto"/>
        </w:pBdr>
        <w:spacing w:before="0" w:after="0"/>
        <w:ind w:left="300" w:right="300" w:firstLine="0"/>
        <w:jc w:val="center"/>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4063460" cy="250764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58712" name=""/>
                    <pic:cNvPicPr>
                      <a:picLocks noChangeAspect="1"/>
                    </pic:cNvPicPr>
                  </pic:nvPicPr>
                  <pic:blipFill>
                    <a:blip xmlns:r="http://schemas.openxmlformats.org/officeDocument/2006/relationships" r:embed="rId13"/>
                    <a:stretch>
                      <a:fillRect/>
                    </a:stretch>
                  </pic:blipFill>
                  <pic:spPr>
                    <a:xfrm>
                      <a:off x="0" y="0"/>
                      <a:ext cx="4063460" cy="25076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ind w:left="300" w:right="300" w:firstLine="0"/>
        <w:jc w:val="center"/>
        <w:rPr>
          <w:rStyle w:val="any"/>
          <w:rFonts w:ascii="Calibri" w:eastAsia="Calibri" w:hAnsi="Calibri" w:cs="Calibri"/>
          <w:b w:val="0"/>
          <w:bCs w:val="0"/>
          <w:spacing w:val="8"/>
        </w:rPr>
      </w:pPr>
      <w:r>
        <w:rPr>
          <w:rStyle w:val="any"/>
          <w:rFonts w:ascii="宋体" w:eastAsia="宋体" w:hAnsi="宋体" w:cs="宋体"/>
          <w:b w:val="0"/>
          <w:bCs w:val="0"/>
          <w:caps w:val="0"/>
          <w:smallCaps w:val="0"/>
          <w:color w:val="FF0000"/>
          <w:spacing w:val="8"/>
        </w:rPr>
        <w:t>碰到撤稿不用慌，专注于提供论文撤稿危机公关服务</w:t>
      </w:r>
    </w:p>
    <w:p>
      <w:pPr>
        <w:pStyle w:val="p"/>
        <w:pBdr>
          <w:top w:val="none" w:sz="0" w:space="0" w:color="auto"/>
          <w:left w:val="none" w:sz="0" w:space="0" w:color="auto"/>
          <w:bottom w:val="none" w:sz="0" w:space="0" w:color="auto"/>
          <w:right w:val="none" w:sz="0" w:space="0" w:color="auto"/>
        </w:pBdr>
        <w:spacing w:before="0" w:after="0"/>
        <w:ind w:left="300" w:right="300" w:firstLine="336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ind w:left="300" w:right="300" w:firstLine="5940"/>
        <w:jc w:val="left"/>
        <w:rPr>
          <w:rStyle w:val="any"/>
          <w:rFonts w:ascii="Calibri" w:eastAsia="Calibri" w:hAnsi="Calibri" w:cs="Calibri"/>
          <w:b w:val="0"/>
          <w:bCs w:val="0"/>
          <w:spacing w:val="8"/>
        </w:rPr>
      </w:pPr>
      <w:r>
        <w:rPr>
          <w:rStyle w:val="any"/>
          <w:rFonts w:ascii="Calibri" w:eastAsia="Calibri" w:hAnsi="Calibri" w:cs="Calibri"/>
          <w:b w:val="0"/>
          <w:bCs w:val="0"/>
          <w:strike w:val="0"/>
          <w:spacing w:val="8"/>
          <w:u w:val="none"/>
        </w:rPr>
        <w:drawing>
          <wp:inline>
            <wp:extent cx="58489" cy="1351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52821" name=""/>
                    <pic:cNvPicPr>
                      <a:picLocks noChangeAspect="1"/>
                    </pic:cNvPicPr>
                  </pic:nvPicPr>
                  <pic:blipFill>
                    <a:blip xmlns:r="http://schemas.openxmlformats.org/officeDocument/2006/relationships" r:embed="rId14"/>
                    <a:stretch>
                      <a:fillRect/>
                    </a:stretch>
                  </pic:blipFill>
                  <pic:spPr>
                    <a:xfrm>
                      <a:off x="0" y="0"/>
                      <a:ext cx="58489" cy="135118"/>
                    </a:xfrm>
                    <a:prstGeom prst="rect">
                      <a:avLst/>
                    </a:prstGeom>
                  </pic:spPr>
                </pic:pic>
              </a:graphicData>
            </a:graphic>
          </wp:inline>
        </w:drawing>
      </w:r>
      <w:r>
        <w:rPr>
          <w:rStyle w:val="any"/>
          <w:rFonts w:ascii="宋体" w:eastAsia="宋体" w:hAnsi="宋体" w:cs="宋体"/>
          <w:b w:val="0"/>
          <w:bCs w:val="0"/>
          <w:caps w:val="0"/>
          <w:smallCaps w:val="0"/>
          <w:color w:val="FF0000"/>
          <w:spacing w:val="8"/>
          <w:sz w:val="18"/>
          <w:szCs w:val="18"/>
        </w:rPr>
        <w:t>觉得本文好看，请点击这里</w:t>
      </w:r>
    </w:p>
    <w:p>
      <w:pPr>
        <w:pStyle w:val="p"/>
        <w:pBdr>
          <w:top w:val="none" w:sz="0" w:space="0" w:color="auto"/>
          <w:left w:val="none" w:sz="0" w:space="0" w:color="auto"/>
          <w:bottom w:val="none" w:sz="0" w:space="0" w:color="auto"/>
          <w:right w:val="none" w:sz="0" w:space="0" w:color="auto"/>
        </w:pBdr>
        <w:spacing w:before="0" w:after="0"/>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spacing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table" w:customStyle="1" w:styleId="table">
    <w:name w:val="table"/>
    <w:basedOn w:val="TableNormal"/>
    <w:tblPr/>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Y5MDc0MQ==&amp;mid=2247494458&amp;idx=1&amp;sn=41b9639e673027b511f0089e1c549ca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