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作者身份存疑？复旦大学附属中山医院麻醉科</w:t>
        </w:r>
        <w:r>
          <w:rPr>
            <w:rStyle w:val="a"/>
            <w:rFonts w:ascii="Times New Roman" w:eastAsia="Times New Roman" w:hAnsi="Times New Roman" w:cs="Times New Roman"/>
            <w:b w:val="0"/>
            <w:bCs w:val="0"/>
            <w:spacing w:val="8"/>
          </w:rPr>
          <w:t>Minli Sun</w:t>
        </w:r>
        <w:r>
          <w:rPr>
            <w:rStyle w:val="a"/>
            <w:rFonts w:ascii="PMingLiU" w:eastAsia="PMingLiU" w:hAnsi="PMingLiU" w:cs="PMingLiU"/>
            <w:b w:val="0"/>
            <w:bCs w:val="0"/>
            <w:spacing w:val="8"/>
          </w:rPr>
          <w:t>（音译：孙敏莉）团队论文被撤稿，背有国自然基金资助！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2025-04-10 19:02:41</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143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586360" name=""/>
                    <pic:cNvPicPr>
                      <a:picLocks noChangeAspect="1"/>
                    </pic:cNvPicPr>
                  </pic:nvPicPr>
                  <pic:blipFill>
                    <a:blip xmlns:r="http://schemas.openxmlformats.org/officeDocument/2006/relationships" r:embed="rId6"/>
                    <a:stretch>
                      <a:fillRect/>
                    </a:stretch>
                  </pic:blipFill>
                  <pic:spPr>
                    <a:xfrm>
                      <a:off x="0" y="0"/>
                      <a:ext cx="5486400" cy="28143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2024年1月15日</w:t>
      </w:r>
      <w:r>
        <w:rPr>
          <w:rStyle w:val="any"/>
          <w:rFonts w:ascii="微软雅黑" w:eastAsia="微软雅黑" w:hAnsi="微软雅黑" w:cs="微软雅黑"/>
          <w:spacing w:val="8"/>
        </w:rPr>
        <w:t>，</w:t>
      </w:r>
      <w:r>
        <w:rPr>
          <w:rStyle w:val="any"/>
          <w:rFonts w:ascii="微软雅黑" w:eastAsia="微软雅黑" w:hAnsi="微软雅黑" w:cs="微软雅黑"/>
          <w:spacing w:val="8"/>
        </w:rPr>
        <w:t>一篇题为</w:t>
      </w:r>
      <w:r>
        <w:rPr>
          <w:rStyle w:val="any"/>
          <w:rFonts w:ascii="微软雅黑" w:eastAsia="微软雅黑" w:hAnsi="微软雅黑" w:cs="微软雅黑"/>
          <w:spacing w:val="8"/>
        </w:rPr>
        <w:t>：</w:t>
      </w:r>
      <w:r>
        <w:rPr>
          <w:rStyle w:val="any"/>
          <w:rFonts w:ascii="微软雅黑" w:eastAsia="微软雅黑" w:hAnsi="微软雅黑" w:cs="微软雅黑"/>
          <w:spacing w:val="8"/>
        </w:rPr>
        <w:t>HOXC6: A promising biomarker linked to an immunoevasive microenvironment in colorectal cancer based on TCGA analysis and cohort validation（HOXC6：基于TCGA分析和队列验证的结直肠癌中与免疫逃逸微环境相关的有前途的生物标志物）的论文在</w:t>
      </w:r>
      <w:r>
        <w:rPr>
          <w:rStyle w:val="any"/>
          <w:rFonts w:ascii="微软雅黑" w:eastAsia="微软雅黑" w:hAnsi="微软雅黑" w:cs="微软雅黑"/>
          <w:spacing w:val="8"/>
        </w:rPr>
        <w:t>《</w:t>
      </w:r>
      <w:r>
        <w:rPr>
          <w:rStyle w:val="any"/>
          <w:rFonts w:ascii="微软雅黑" w:eastAsia="微软雅黑" w:hAnsi="微软雅黑" w:cs="微软雅黑"/>
          <w:spacing w:val="8"/>
        </w:rPr>
        <w:t>Heliyon》期刊</w:t>
      </w:r>
      <w:r>
        <w:rPr>
          <w:rStyle w:val="any"/>
          <w:rFonts w:ascii="微软雅黑" w:eastAsia="微软雅黑" w:hAnsi="微软雅黑" w:cs="微软雅黑"/>
          <w:spacing w:val="8"/>
        </w:rPr>
        <w:t>发表</w:t>
      </w:r>
      <w:r>
        <w:rPr>
          <w:rStyle w:val="any"/>
          <w:rFonts w:ascii="微软雅黑" w:eastAsia="微软雅黑" w:hAnsi="微软雅黑" w:cs="微软雅黑"/>
          <w:spacing w:val="8"/>
        </w:rPr>
        <w:t>，</w:t>
      </w:r>
      <w:r>
        <w:rPr>
          <w:rStyle w:val="any"/>
          <w:rFonts w:ascii="微软雅黑" w:eastAsia="微软雅黑" w:hAnsi="微软雅黑" w:cs="微软雅黑"/>
          <w:spacing w:val="8"/>
        </w:rPr>
        <w:t>论文</w:t>
      </w:r>
      <w:r>
        <w:rPr>
          <w:rStyle w:val="any"/>
          <w:rFonts w:ascii="微软雅黑" w:eastAsia="微软雅黑" w:hAnsi="微软雅黑" w:cs="微软雅黑"/>
          <w:spacing w:val="8"/>
        </w:rPr>
        <w:t>DOI：</w:t>
      </w:r>
      <w:r>
        <w:rPr>
          <w:rStyle w:val="any"/>
          <w:rFonts w:ascii="微软雅黑" w:eastAsia="微软雅黑" w:hAnsi="微软雅黑" w:cs="微软雅黑"/>
          <w:spacing w:val="8"/>
        </w:rPr>
        <w:t>10.1016/J.HELIYON.2023.E23500。</w:t>
      </w:r>
      <w:r>
        <w:rPr>
          <w:rStyle w:val="any"/>
          <w:rFonts w:ascii="微软雅黑" w:eastAsia="微软雅黑" w:hAnsi="微软雅黑" w:cs="微软雅黑"/>
          <w:spacing w:val="8"/>
        </w:rPr>
        <w:br/>
      </w:r>
      <w:r>
        <w:rPr>
          <w:rStyle w:val="any"/>
          <w:rFonts w:ascii="微软雅黑" w:eastAsia="微软雅黑" w:hAnsi="微软雅黑" w:cs="微软雅黑"/>
          <w:spacing w:val="8"/>
        </w:rPr>
        <w:t>该论文于2025年2月26日被撤回。</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67935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098432" name=""/>
                    <pic:cNvPicPr>
                      <a:picLocks noChangeAspect="1"/>
                    </pic:cNvPicPr>
                  </pic:nvPicPr>
                  <pic:blipFill>
                    <a:blip xmlns:r="http://schemas.openxmlformats.org/officeDocument/2006/relationships" r:embed="rId7"/>
                    <a:stretch>
                      <a:fillRect/>
                    </a:stretch>
                  </pic:blipFill>
                  <pic:spPr>
                    <a:xfrm>
                      <a:off x="0" y="0"/>
                      <a:ext cx="5486400" cy="467935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Hoya camphorifolia</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应编辑的要求，这篇文章已被撤回。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发表后，</w:t>
      </w:r>
      <w:r>
        <w:rPr>
          <w:rStyle w:val="any"/>
          <w:rFonts w:ascii="Times New Roman" w:eastAsia="Times New Roman" w:hAnsi="Times New Roman" w:cs="Times New Roman"/>
          <w:spacing w:val="8"/>
        </w:rPr>
        <w:t>Elsevier</w:t>
      </w:r>
      <w:r>
        <w:rPr>
          <w:rStyle w:val="any"/>
          <w:rFonts w:ascii="PMingLiU" w:eastAsia="PMingLiU" w:hAnsi="PMingLiU" w:cs="PMingLiU"/>
          <w:spacing w:val="8"/>
        </w:rPr>
        <w:t>的研究诚信和出版道德团队代表杂志进行了一项调查，发现原始提交和本文修订版之间的作者身份发生了重大变化。在修订过程中，作者、赖玉玲、张和被添加到修订的论文中，但未给出充分的解释。此外，</w:t>
      </w:r>
      <w:r>
        <w:rPr>
          <w:rStyle w:val="any"/>
          <w:rFonts w:ascii="Times New Roman" w:eastAsia="Times New Roman" w:hAnsi="Times New Roman" w:cs="Times New Roman"/>
          <w:spacing w:val="8"/>
        </w:rPr>
        <w:t>2</w:t>
      </w:r>
      <w:r>
        <w:rPr>
          <w:rStyle w:val="any"/>
          <w:rFonts w:ascii="PMingLiU" w:eastAsia="PMingLiU" w:hAnsi="PMingLiU" w:cs="PMingLiU"/>
          <w:spacing w:val="8"/>
        </w:rPr>
        <w:t>名作者在修订过程中被删除。编辑没有信心文章的所有声明作者都有资格成为作者，因此对文章的有效性</w:t>
      </w:r>
      <w:r>
        <w:rPr>
          <w:rStyle w:val="any"/>
          <w:rFonts w:ascii="Times New Roman" w:eastAsia="Times New Roman" w:hAnsi="Times New Roman" w:cs="Times New Roman"/>
          <w:spacing w:val="8"/>
        </w:rPr>
        <w:t>/</w:t>
      </w:r>
      <w:r>
        <w:rPr>
          <w:rStyle w:val="any"/>
          <w:rFonts w:ascii="PMingLiU" w:eastAsia="PMingLiU" w:hAnsi="PMingLiU" w:cs="PMingLiU"/>
          <w:spacing w:val="8"/>
        </w:rPr>
        <w:t>完整性失去了信心，并决定撤回。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提交人不同意收回，并对收回的理由提出质疑。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4805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982875" name=""/>
                    <pic:cNvPicPr>
                      <a:picLocks noChangeAspect="1"/>
                    </pic:cNvPicPr>
                  </pic:nvPicPr>
                  <pic:blipFill>
                    <a:blip xmlns:r="http://schemas.openxmlformats.org/officeDocument/2006/relationships" r:embed="rId8"/>
                    <a:stretch>
                      <a:fillRect/>
                    </a:stretch>
                  </pic:blipFill>
                  <pic:spPr>
                    <a:xfrm>
                      <a:off x="0" y="0"/>
                      <a:ext cx="5486400" cy="444805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本论文研究内容为：</w:t>
      </w:r>
      <w:r>
        <w:rPr>
          <w:rStyle w:val="any"/>
          <w:rFonts w:ascii="Times New Roman" w:eastAsia="Times New Roman" w:hAnsi="Times New Roman" w:cs="Times New Roman"/>
          <w:spacing w:val="8"/>
        </w:rPr>
        <w:t>HOXC6</w:t>
      </w:r>
      <w:r>
        <w:rPr>
          <w:rStyle w:val="any"/>
          <w:rFonts w:ascii="PMingLiU" w:eastAsia="PMingLiU" w:hAnsi="PMingLiU" w:cs="PMingLiU"/>
          <w:spacing w:val="8"/>
        </w:rPr>
        <w:t>在实体瘤的致癌作用中起着重要的一部分，但在结直肠癌患者（</w:t>
      </w:r>
      <w:r>
        <w:rPr>
          <w:rStyle w:val="any"/>
          <w:rFonts w:ascii="Times New Roman" w:eastAsia="Times New Roman" w:hAnsi="Times New Roman" w:cs="Times New Roman"/>
          <w:spacing w:val="8"/>
        </w:rPr>
        <w:t>CRC</w:t>
      </w:r>
      <w:r>
        <w:rPr>
          <w:rStyle w:val="any"/>
          <w:rFonts w:ascii="PMingLiU" w:eastAsia="PMingLiU" w:hAnsi="PMingLiU" w:cs="PMingLiU"/>
          <w:spacing w:val="8"/>
        </w:rPr>
        <w:t>）中，其功能相关性仍然不确定。我们打算通过利用癌症基因组图集数据库（</w:t>
      </w:r>
      <w:r>
        <w:rPr>
          <w:rStyle w:val="any"/>
          <w:rFonts w:ascii="Times New Roman" w:eastAsia="Times New Roman" w:hAnsi="Times New Roman" w:cs="Times New Roman"/>
          <w:spacing w:val="8"/>
        </w:rPr>
        <w:t>n = 619</w:t>
      </w:r>
      <w:r>
        <w:rPr>
          <w:rStyle w:val="any"/>
          <w:rFonts w:ascii="PMingLiU" w:eastAsia="PMingLiU" w:hAnsi="PMingLiU" w:cs="PMingLiU"/>
          <w:spacing w:val="8"/>
        </w:rPr>
        <w:t>）来研究</w:t>
      </w:r>
      <w:r>
        <w:rPr>
          <w:rStyle w:val="any"/>
          <w:rFonts w:ascii="Times New Roman" w:eastAsia="Times New Roman" w:hAnsi="Times New Roman" w:cs="Times New Roman"/>
          <w:spacing w:val="8"/>
        </w:rPr>
        <w:t>HOXC6</w:t>
      </w:r>
      <w:r>
        <w:rPr>
          <w:rStyle w:val="any"/>
          <w:rFonts w:ascii="PMingLiU" w:eastAsia="PMingLiU" w:hAnsi="PMingLiU" w:cs="PMingLiU"/>
          <w:spacing w:val="8"/>
        </w:rPr>
        <w:t>表达对生存结果的预测价值及其与</w:t>
      </w:r>
      <w:r>
        <w:rPr>
          <w:rStyle w:val="any"/>
          <w:rFonts w:ascii="Times New Roman" w:eastAsia="Times New Roman" w:hAnsi="Times New Roman" w:cs="Times New Roman"/>
          <w:spacing w:val="8"/>
        </w:rPr>
        <w:t>CRC</w:t>
      </w:r>
      <w:r>
        <w:rPr>
          <w:rStyle w:val="any"/>
          <w:rFonts w:ascii="PMingLiU" w:eastAsia="PMingLiU" w:hAnsi="PMingLiU" w:cs="PMingLiU"/>
          <w:spacing w:val="8"/>
        </w:rPr>
        <w:t>患者免疫环境的相关性。验证是在中山医院（</w:t>
      </w:r>
      <w:r>
        <w:rPr>
          <w:rStyle w:val="any"/>
          <w:rFonts w:ascii="Times New Roman" w:eastAsia="Times New Roman" w:hAnsi="Times New Roman" w:cs="Times New Roman"/>
          <w:spacing w:val="8"/>
        </w:rPr>
        <w:t>n = 200</w:t>
      </w:r>
      <w:r>
        <w:rPr>
          <w:rStyle w:val="any"/>
          <w:rFonts w:ascii="PMingLiU" w:eastAsia="PMingLiU" w:hAnsi="PMingLiU" w:cs="PMingLiU"/>
          <w:spacing w:val="8"/>
        </w:rPr>
        <w:t>）和上海癌症中心（</w:t>
      </w:r>
      <w:r>
        <w:rPr>
          <w:rStyle w:val="any"/>
          <w:rFonts w:ascii="Times New Roman" w:eastAsia="Times New Roman" w:hAnsi="Times New Roman" w:cs="Times New Roman"/>
          <w:spacing w:val="8"/>
        </w:rPr>
        <w:t>n = 300</w:t>
      </w:r>
      <w:r>
        <w:rPr>
          <w:rStyle w:val="any"/>
          <w:rFonts w:ascii="PMingLiU" w:eastAsia="PMingLiU" w:hAnsi="PMingLiU" w:cs="PMingLiU"/>
          <w:spacing w:val="8"/>
        </w:rPr>
        <w:t>）的队列中进行的。利用免疫组织化学（</w:t>
      </w:r>
      <w:r>
        <w:rPr>
          <w:rStyle w:val="any"/>
          <w:rFonts w:ascii="Times New Roman" w:eastAsia="Times New Roman" w:hAnsi="Times New Roman" w:cs="Times New Roman"/>
          <w:spacing w:val="8"/>
        </w:rPr>
        <w:t>IHC</w:t>
      </w:r>
      <w:r>
        <w:rPr>
          <w:rStyle w:val="any"/>
          <w:rFonts w:ascii="PMingLiU" w:eastAsia="PMingLiU" w:hAnsi="PMingLiU" w:cs="PMingLiU"/>
          <w:spacing w:val="8"/>
        </w:rPr>
        <w:t>）染色来比较</w:t>
      </w:r>
      <w:r>
        <w:rPr>
          <w:rStyle w:val="any"/>
          <w:rFonts w:ascii="Times New Roman" w:eastAsia="Times New Roman" w:hAnsi="Times New Roman" w:cs="Times New Roman"/>
          <w:spacing w:val="8"/>
        </w:rPr>
        <w:t>HOXC6</w:t>
      </w:r>
      <w:r>
        <w:rPr>
          <w:rStyle w:val="any"/>
          <w:rFonts w:ascii="PMingLiU" w:eastAsia="PMingLiU" w:hAnsi="PMingLiU" w:cs="PMingLiU"/>
          <w:spacing w:val="8"/>
        </w:rPr>
        <w:t>高表达和低表达的组之间的免疫细胞水平。</w:t>
      </w:r>
      <w:r>
        <w:rPr>
          <w:rStyle w:val="any"/>
          <w:rFonts w:ascii="Times New Roman" w:eastAsia="Times New Roman" w:hAnsi="Times New Roman" w:cs="Times New Roman"/>
          <w:spacing w:val="8"/>
        </w:rPr>
        <w:t>CRC</w:t>
      </w:r>
      <w:r>
        <w:rPr>
          <w:rStyle w:val="any"/>
          <w:rFonts w:ascii="PMingLiU" w:eastAsia="PMingLiU" w:hAnsi="PMingLiU" w:cs="PMingLiU"/>
          <w:spacing w:val="8"/>
        </w:rPr>
        <w:t>组织中</w:t>
      </w:r>
      <w:r>
        <w:rPr>
          <w:rStyle w:val="any"/>
          <w:rFonts w:ascii="Times New Roman" w:eastAsia="Times New Roman" w:hAnsi="Times New Roman" w:cs="Times New Roman"/>
          <w:spacing w:val="8"/>
        </w:rPr>
        <w:t>HOXC6</w:t>
      </w:r>
      <w:r>
        <w:rPr>
          <w:rStyle w:val="any"/>
          <w:rFonts w:ascii="PMingLiU" w:eastAsia="PMingLiU" w:hAnsi="PMingLiU" w:cs="PMingLiU"/>
          <w:spacing w:val="8"/>
        </w:rPr>
        <w:t>表达水平升高与恶性进展和预后不良有关。</w:t>
      </w:r>
      <w:r>
        <w:rPr>
          <w:rStyle w:val="any"/>
          <w:rFonts w:ascii="Times New Roman" w:eastAsia="Times New Roman" w:hAnsi="Times New Roman" w:cs="Times New Roman"/>
          <w:spacing w:val="8"/>
        </w:rPr>
        <w:t>HOXC6</w:t>
      </w:r>
      <w:r>
        <w:rPr>
          <w:rStyle w:val="any"/>
          <w:rFonts w:ascii="PMingLiU" w:eastAsia="PMingLiU" w:hAnsi="PMingLiU" w:cs="PMingLiU"/>
          <w:spacing w:val="8"/>
        </w:rPr>
        <w:t>作为</w:t>
      </w:r>
      <w:r>
        <w:rPr>
          <w:rStyle w:val="any"/>
          <w:rFonts w:ascii="Times New Roman" w:eastAsia="Times New Roman" w:hAnsi="Times New Roman" w:cs="Times New Roman"/>
          <w:spacing w:val="8"/>
        </w:rPr>
        <w:t>CRC</w:t>
      </w:r>
      <w:r>
        <w:rPr>
          <w:rStyle w:val="any"/>
          <w:rFonts w:ascii="PMingLiU" w:eastAsia="PMingLiU" w:hAnsi="PMingLiU" w:cs="PMingLiU"/>
          <w:spacing w:val="8"/>
        </w:rPr>
        <w:t>患者存活的危险因素。接收器操作特征分析确认其诊断值，并构建了可靠的预后列图。</w:t>
      </w:r>
      <w:r>
        <w:rPr>
          <w:rStyle w:val="any"/>
          <w:rFonts w:ascii="Times New Roman" w:eastAsia="Times New Roman" w:hAnsi="Times New Roman" w:cs="Times New Roman"/>
          <w:spacing w:val="8"/>
        </w:rPr>
        <w:t>KEGG</w:t>
      </w:r>
      <w:r>
        <w:rPr>
          <w:rStyle w:val="any"/>
          <w:rFonts w:ascii="PMingLiU" w:eastAsia="PMingLiU" w:hAnsi="PMingLiU" w:cs="PMingLiU"/>
          <w:spacing w:val="8"/>
        </w:rPr>
        <w:t>分析和</w:t>
      </w:r>
      <w:r>
        <w:rPr>
          <w:rStyle w:val="any"/>
          <w:rFonts w:ascii="Times New Roman" w:eastAsia="Times New Roman" w:hAnsi="Times New Roman" w:cs="Times New Roman"/>
          <w:spacing w:val="8"/>
        </w:rPr>
        <w:t>GSEA</w:t>
      </w:r>
      <w:r>
        <w:rPr>
          <w:rStyle w:val="any"/>
          <w:rFonts w:ascii="PMingLiU" w:eastAsia="PMingLiU" w:hAnsi="PMingLiU" w:cs="PMingLiU"/>
          <w:spacing w:val="8"/>
        </w:rPr>
        <w:t>表明</w:t>
      </w:r>
      <w:r>
        <w:rPr>
          <w:rStyle w:val="any"/>
          <w:rFonts w:ascii="Times New Roman" w:eastAsia="Times New Roman" w:hAnsi="Times New Roman" w:cs="Times New Roman"/>
          <w:spacing w:val="8"/>
        </w:rPr>
        <w:t>HOXC6</w:t>
      </w:r>
      <w:r>
        <w:rPr>
          <w:rStyle w:val="any"/>
          <w:rFonts w:ascii="PMingLiU" w:eastAsia="PMingLiU" w:hAnsi="PMingLiU" w:cs="PMingLiU"/>
          <w:spacing w:val="8"/>
        </w:rPr>
        <w:t>参与了免疫调节，其表达与丰富的浸润免疫细胞紧密相关。</w:t>
      </w:r>
      <w:r>
        <w:rPr>
          <w:rStyle w:val="any"/>
          <w:rFonts w:ascii="Times New Roman" w:eastAsia="Times New Roman" w:hAnsi="Times New Roman" w:cs="Times New Roman"/>
          <w:spacing w:val="8"/>
        </w:rPr>
        <w:t>HOXC6</w:t>
      </w:r>
      <w:r>
        <w:rPr>
          <w:rStyle w:val="any"/>
          <w:rFonts w:ascii="PMingLiU" w:eastAsia="PMingLiU" w:hAnsi="PMingLiU" w:cs="PMingLiU"/>
          <w:spacing w:val="8"/>
        </w:rPr>
        <w:t>在两个队列中被诊断为</w:t>
      </w:r>
      <w:r>
        <w:rPr>
          <w:rStyle w:val="any"/>
          <w:rFonts w:ascii="Times New Roman" w:eastAsia="Times New Roman" w:hAnsi="Times New Roman" w:cs="Times New Roman"/>
          <w:spacing w:val="8"/>
        </w:rPr>
        <w:t>CRC</w:t>
      </w:r>
      <w:r>
        <w:rPr>
          <w:rStyle w:val="any"/>
          <w:rFonts w:ascii="PMingLiU" w:eastAsia="PMingLiU" w:hAnsi="PMingLiU" w:cs="PMingLiU"/>
          <w:spacing w:val="8"/>
        </w:rPr>
        <w:t>的患者中上调，高</w:t>
      </w:r>
      <w:r>
        <w:rPr>
          <w:rStyle w:val="any"/>
          <w:rFonts w:ascii="Times New Roman" w:eastAsia="Times New Roman" w:hAnsi="Times New Roman" w:cs="Times New Roman"/>
          <w:spacing w:val="8"/>
        </w:rPr>
        <w:t>HOXC6</w:t>
      </w:r>
      <w:r>
        <w:rPr>
          <w:rStyle w:val="any"/>
          <w:rFonts w:ascii="PMingLiU" w:eastAsia="PMingLiU" w:hAnsi="PMingLiU" w:cs="PMingLiU"/>
          <w:spacing w:val="8"/>
        </w:rPr>
        <w:t>水平与预后较差相关。高</w:t>
      </w:r>
      <w:r>
        <w:rPr>
          <w:rStyle w:val="any"/>
          <w:rFonts w:ascii="Times New Roman" w:eastAsia="Times New Roman" w:hAnsi="Times New Roman" w:cs="Times New Roman"/>
          <w:spacing w:val="8"/>
        </w:rPr>
        <w:t>HOXC6</w:t>
      </w:r>
      <w:r>
        <w:rPr>
          <w:rStyle w:val="any"/>
          <w:rFonts w:ascii="PMingLiU" w:eastAsia="PMingLiU" w:hAnsi="PMingLiU" w:cs="PMingLiU"/>
          <w:spacing w:val="8"/>
        </w:rPr>
        <w:t>表达组显示</w:t>
      </w:r>
      <w:r>
        <w:rPr>
          <w:rStyle w:val="any"/>
          <w:rFonts w:ascii="Times New Roman" w:eastAsia="Times New Roman" w:hAnsi="Times New Roman" w:cs="Times New Roman"/>
          <w:spacing w:val="8"/>
        </w:rPr>
        <w:t>Treg</w:t>
      </w:r>
      <w:r>
        <w:rPr>
          <w:rStyle w:val="any"/>
          <w:rFonts w:ascii="PMingLiU" w:eastAsia="PMingLiU" w:hAnsi="PMingLiU" w:cs="PMingLiU"/>
          <w:spacing w:val="8"/>
        </w:rPr>
        <w:t>细胞，</w:t>
      </w:r>
      <w:r>
        <w:rPr>
          <w:rStyle w:val="any"/>
          <w:rFonts w:ascii="Times New Roman" w:eastAsia="Times New Roman" w:hAnsi="Times New Roman" w:cs="Times New Roman"/>
          <w:spacing w:val="8"/>
        </w:rPr>
        <w:t>CD68+</w:t>
      </w:r>
      <w:r>
        <w:rPr>
          <w:rStyle w:val="any"/>
          <w:rFonts w:ascii="PMingLiU" w:eastAsia="PMingLiU" w:hAnsi="PMingLiU" w:cs="PMingLiU"/>
          <w:spacing w:val="8"/>
        </w:rPr>
        <w:t>巨噬细胞，</w:t>
      </w:r>
      <w:r>
        <w:rPr>
          <w:rStyle w:val="any"/>
          <w:rFonts w:ascii="Times New Roman" w:eastAsia="Times New Roman" w:hAnsi="Times New Roman" w:cs="Times New Roman"/>
          <w:spacing w:val="8"/>
        </w:rPr>
        <w:t>CD66B+</w:t>
      </w:r>
      <w:r>
        <w:rPr>
          <w:rStyle w:val="any"/>
          <w:rFonts w:ascii="PMingLiU" w:eastAsia="PMingLiU" w:hAnsi="PMingLiU" w:cs="PMingLiU"/>
          <w:spacing w:val="8"/>
        </w:rPr>
        <w:t>中性粒细胞以及</w:t>
      </w:r>
      <w:r>
        <w:rPr>
          <w:rStyle w:val="any"/>
          <w:rFonts w:ascii="Times New Roman" w:eastAsia="Times New Roman" w:hAnsi="Times New Roman" w:cs="Times New Roman"/>
          <w:spacing w:val="8"/>
        </w:rPr>
        <w:t>CD8+ T</w:t>
      </w:r>
      <w:r>
        <w:rPr>
          <w:rStyle w:val="any"/>
          <w:rFonts w:ascii="PMingLiU" w:eastAsia="PMingLiU" w:hAnsi="PMingLiU" w:cs="PMingLiU"/>
          <w:spacing w:val="8"/>
        </w:rPr>
        <w:t>细胞的浸润增加，</w:t>
      </w:r>
      <w:r>
        <w:rPr>
          <w:rStyle w:val="any"/>
          <w:rFonts w:ascii="Times New Roman" w:eastAsia="Times New Roman" w:hAnsi="Times New Roman" w:cs="Times New Roman"/>
          <w:spacing w:val="8"/>
        </w:rPr>
        <w:t>PD-L1</w:t>
      </w:r>
      <w:r>
        <w:rPr>
          <w:rStyle w:val="any"/>
          <w:rFonts w:ascii="PMingLiU" w:eastAsia="PMingLiU" w:hAnsi="PMingLiU" w:cs="PMingLiU"/>
          <w:spacing w:val="8"/>
        </w:rPr>
        <w:t>和</w:t>
      </w:r>
      <w:r>
        <w:rPr>
          <w:rStyle w:val="any"/>
          <w:rFonts w:ascii="Times New Roman" w:eastAsia="Times New Roman" w:hAnsi="Times New Roman" w:cs="Times New Roman"/>
          <w:spacing w:val="8"/>
        </w:rPr>
        <w:t>PD-1</w:t>
      </w:r>
      <w:r>
        <w:rPr>
          <w:rStyle w:val="any"/>
          <w:rFonts w:ascii="PMingLiU" w:eastAsia="PMingLiU" w:hAnsi="PMingLiU" w:cs="PMingLiU"/>
          <w:spacing w:val="8"/>
        </w:rPr>
        <w:t>的水平升高，但</w:t>
      </w:r>
      <w:r>
        <w:rPr>
          <w:rStyle w:val="any"/>
          <w:rFonts w:ascii="Times New Roman" w:eastAsia="Times New Roman" w:hAnsi="Times New Roman" w:cs="Times New Roman"/>
          <w:spacing w:val="8"/>
        </w:rPr>
        <w:t>Granzyme B</w:t>
      </w:r>
      <w:r>
        <w:rPr>
          <w:rStyle w:val="any"/>
          <w:rFonts w:ascii="PMingLiU" w:eastAsia="PMingLiU" w:hAnsi="PMingLiU" w:cs="PMingLiU"/>
          <w:spacing w:val="8"/>
        </w:rPr>
        <w:t>和</w:t>
      </w:r>
      <w:r>
        <w:rPr>
          <w:rStyle w:val="any"/>
          <w:rFonts w:ascii="Times New Roman" w:eastAsia="Times New Roman" w:hAnsi="Times New Roman" w:cs="Times New Roman"/>
          <w:spacing w:val="8"/>
        </w:rPr>
        <w:t>Perforin</w:t>
      </w:r>
      <w:r>
        <w:rPr>
          <w:rStyle w:val="any"/>
          <w:rFonts w:ascii="PMingLiU" w:eastAsia="PMingLiU" w:hAnsi="PMingLiU" w:cs="PMingLiU"/>
          <w:spacing w:val="8"/>
        </w:rPr>
        <w:t>的水平降低。这些发现表明，</w:t>
      </w:r>
      <w:r>
        <w:rPr>
          <w:rStyle w:val="any"/>
          <w:rFonts w:ascii="Times New Roman" w:eastAsia="Times New Roman" w:hAnsi="Times New Roman" w:cs="Times New Roman"/>
          <w:spacing w:val="8"/>
        </w:rPr>
        <w:t>CRC</w:t>
      </w:r>
      <w:r>
        <w:rPr>
          <w:rStyle w:val="any"/>
          <w:rFonts w:ascii="PMingLiU" w:eastAsia="PMingLiU" w:hAnsi="PMingLiU" w:cs="PMingLiU"/>
          <w:spacing w:val="8"/>
        </w:rPr>
        <w:t>患者的</w:t>
      </w:r>
      <w:r>
        <w:rPr>
          <w:rStyle w:val="any"/>
          <w:rFonts w:ascii="Times New Roman" w:eastAsia="Times New Roman" w:hAnsi="Times New Roman" w:cs="Times New Roman"/>
          <w:spacing w:val="8"/>
        </w:rPr>
        <w:t>HOXC6</w:t>
      </w:r>
      <w:r>
        <w:rPr>
          <w:rStyle w:val="any"/>
          <w:rFonts w:ascii="PMingLiU" w:eastAsia="PMingLiU" w:hAnsi="PMingLiU" w:cs="PMingLiU"/>
          <w:spacing w:val="8"/>
        </w:rPr>
        <w:t>丰度决定了预后不佳，促进了免疫厌恶环境，并指导</w:t>
      </w:r>
      <w:r>
        <w:rPr>
          <w:rStyle w:val="any"/>
          <w:rFonts w:ascii="Times New Roman" w:eastAsia="Times New Roman" w:hAnsi="Times New Roman" w:cs="Times New Roman"/>
          <w:spacing w:val="8"/>
        </w:rPr>
        <w:t>CD8+ T</w:t>
      </w:r>
      <w:r>
        <w:rPr>
          <w:rStyle w:val="any"/>
          <w:rFonts w:ascii="PMingLiU" w:eastAsia="PMingLiU" w:hAnsi="PMingLiU" w:cs="PMingLiU"/>
          <w:spacing w:val="8"/>
        </w:rPr>
        <w:t>细胞功能障碍。</w:t>
      </w:r>
      <w:r>
        <w:rPr>
          <w:rStyle w:val="any"/>
          <w:rFonts w:ascii="Times New Roman" w:eastAsia="Times New Roman" w:hAnsi="Times New Roman" w:cs="Times New Roman"/>
          <w:spacing w:val="8"/>
        </w:rPr>
        <w:t>HOXC6</w:t>
      </w:r>
      <w:r>
        <w:rPr>
          <w:rStyle w:val="any"/>
          <w:rFonts w:ascii="PMingLiU" w:eastAsia="PMingLiU" w:hAnsi="PMingLiU" w:cs="PMingLiU"/>
          <w:spacing w:val="8"/>
        </w:rPr>
        <w:t>有望成为</w:t>
      </w:r>
      <w:r>
        <w:rPr>
          <w:rStyle w:val="any"/>
          <w:rFonts w:ascii="Times New Roman" w:eastAsia="Times New Roman" w:hAnsi="Times New Roman" w:cs="Times New Roman"/>
          <w:spacing w:val="8"/>
        </w:rPr>
        <w:t>CRC</w:t>
      </w:r>
      <w:r>
        <w:rPr>
          <w:rStyle w:val="any"/>
          <w:rFonts w:ascii="PMingLiU" w:eastAsia="PMingLiU" w:hAnsi="PMingLiU" w:cs="PMingLiU"/>
          <w:spacing w:val="8"/>
        </w:rPr>
        <w:t>结果的前瞻性生物标志物。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本研究获得以下基金支持：</w:t>
      </w:r>
      <w:r>
        <w:rPr>
          <w:rStyle w:val="any"/>
          <w:rFonts w:ascii="微软雅黑" w:eastAsia="微软雅黑" w:hAnsi="微软雅黑" w:cs="微软雅黑"/>
          <w:spacing w:val="8"/>
        </w:rPr>
        <w:t>国家自然科学基金委员会[82002538，82372502]；上海市自然科学基金[23zr 1462800]；上海市科学技术委员会自然科学基金[23zr 1411400]；上海市科学技术委员会-医学创新研究专项[23y 11902300]；中山医院临床研究专项基金[ZSLCYJ202346]。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通讯作者：</w:t>
      </w:r>
      <w:r>
        <w:rPr>
          <w:rStyle w:val="any"/>
          <w:rFonts w:ascii="微软雅黑" w:eastAsia="微软雅黑" w:hAnsi="微软雅黑" w:cs="微软雅黑"/>
          <w:spacing w:val="8"/>
        </w:rPr>
        <w:t>Minli Sun（音译：孙敏莉）</w:t>
      </w:r>
      <w:r>
        <w:rPr>
          <w:rStyle w:val="any"/>
          <w:rFonts w:ascii="微软雅黑" w:eastAsia="微软雅黑" w:hAnsi="微软雅黑" w:cs="微软雅黑"/>
          <w:spacing w:val="8"/>
        </w:rPr>
        <w:t>，疑为</w:t>
      </w:r>
      <w:r>
        <w:rPr>
          <w:rStyle w:val="any"/>
          <w:rFonts w:ascii="微软雅黑" w:eastAsia="微软雅黑" w:hAnsi="微软雅黑" w:cs="微软雅黑"/>
          <w:spacing w:val="8"/>
        </w:rPr>
        <w:t>旦大学附属中山医院麻醉科</w:t>
      </w:r>
      <w:r>
        <w:rPr>
          <w:rStyle w:val="any"/>
          <w:rFonts w:ascii="微软雅黑" w:eastAsia="微软雅黑" w:hAnsi="微软雅黑" w:cs="微软雅黑"/>
          <w:spacing w:val="8"/>
        </w:rPr>
        <w:t>副主任医师。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color w:val="888888"/>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1"/>
          <w:szCs w:val="21"/>
        </w:rPr>
        <w:t>https://pubpeer.com/publications/4BB136D68FB1A19E52238F929895D5#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1"/>
          <w:szCs w:val="21"/>
        </w:rPr>
        <w:t>https://pubmed.ncbi.nlm.nih.gov/38192826/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sz w:val="21"/>
          <w:szCs w:val="21"/>
        </w:rPr>
        <w:t>声明：</w:t>
      </w:r>
      <w:r>
        <w:rPr>
          <w:rStyle w:val="any"/>
          <w:rFonts w:ascii="微软雅黑" w:eastAsia="微软雅黑" w:hAnsi="微软雅黑" w:cs="微软雅黑"/>
          <w:spacing w:val="8"/>
          <w:sz w:val="21"/>
          <w:szCs w:val="21"/>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414&amp;idx=2&amp;sn=a08d940865ef48d09d9a620841e43d98"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