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同组图像惊现多篇文章不同作者中，山东医学院附属医院论文被撤稿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09:31:20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Cellular Biochemistry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"Lycopene Protects Keratinocytes Against UVB Radiation-Induced Carcinogenesis via Negative Regulation of FOXO3a Through the mTORC2/AKT Signaling Pathway“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番茄红素通过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mTORC2/AKT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信号通路对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FOXO3a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进行负向调节，保护角质形成细胞免受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UVB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辐射诱发的致癌作用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10.1002/jcb.26189)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不同论文之间图像重复使用。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山东医学院附属医院药剂科，临沂市中心医院皮肤科的作者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Ping Chen , Shina Xu , Jinlong Qu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Jinlong Q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（临沂市中心医院皮肤科）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8320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15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FoxO3a </w:t>
      </w:r>
      <w:r>
        <w:rPr>
          <w:rStyle w:val="any"/>
          <w:rFonts w:ascii="PMingLiU" w:eastAsia="PMingLiU" w:hAnsi="PMingLiU" w:cs="PMingLiU"/>
          <w:spacing w:val="8"/>
        </w:rPr>
        <w:t>在番茄红素诱导的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HaCaT </w:t>
      </w:r>
      <w:r>
        <w:rPr>
          <w:rStyle w:val="any"/>
          <w:rFonts w:ascii="PMingLiU" w:eastAsia="PMingLiU" w:hAnsi="PMingLiU" w:cs="PMingLiU"/>
          <w:spacing w:val="8"/>
        </w:rPr>
        <w:t>细胞增殖和细胞凋亡中的作用。用番茄红素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(1mg/ml) </w:t>
      </w:r>
      <w:r>
        <w:rPr>
          <w:rStyle w:val="any"/>
          <w:rFonts w:ascii="PMingLiU" w:eastAsia="PMingLiU" w:hAnsi="PMingLiU" w:cs="PMingLiU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HaCaT </w:t>
      </w:r>
      <w:r>
        <w:rPr>
          <w:rStyle w:val="any"/>
          <w:rFonts w:ascii="PMingLiU" w:eastAsia="PMingLiU" w:hAnsi="PMingLiU" w:cs="PMingLiU"/>
          <w:spacing w:val="8"/>
        </w:rPr>
        <w:t>细胞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24 </w:t>
      </w:r>
      <w:r>
        <w:rPr>
          <w:rStyle w:val="any"/>
          <w:rFonts w:ascii="PMingLiU" w:eastAsia="PMingLiU" w:hAnsi="PMingLiU" w:cs="PMingLiU"/>
          <w:spacing w:val="8"/>
        </w:rPr>
        <w:t>小时，然后通过流式细胞术测定细胞凋亡，如前所述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(A)”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2541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47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2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我对这些驼鹿肖像进行了颜色编码，以突出其与</w:t>
      </w:r>
      <w:r>
        <w:rPr>
          <w:rStyle w:val="any"/>
          <w:rFonts w:ascii="Times New Roman" w:eastAsia="Times New Roman" w:hAnsi="Times New Roman" w:cs="Times New Roman"/>
          <w:spacing w:val="8"/>
        </w:rPr>
        <w:t>Zhang et al (2017)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 </w:t>
      </w:r>
      <w:r>
        <w:rPr>
          <w:rStyle w:val="any"/>
          <w:rFonts w:ascii="PMingLiU" w:eastAsia="PMingLiU" w:hAnsi="PMingLiU" w:cs="PMingLiU"/>
          <w:spacing w:val="8"/>
        </w:rPr>
        <w:t>的相似之处。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通过流式细胞术确定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SW1990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PANC-1 </w:t>
      </w:r>
      <w:r>
        <w:rPr>
          <w:rStyle w:val="any"/>
          <w:rFonts w:ascii="PMingLiU" w:eastAsia="PMingLiU" w:hAnsi="PMingLiU" w:cs="PMingLiU"/>
          <w:spacing w:val="8"/>
        </w:rPr>
        <w:t>细胞中的凋亡百分比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1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67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浅棕色和浅紫色框也便于与</w:t>
      </w:r>
      <w:r>
        <w:rPr>
          <w:rStyle w:val="any"/>
          <w:rFonts w:ascii="Times New Roman" w:eastAsia="Times New Roman" w:hAnsi="Times New Roman" w:cs="Times New Roman"/>
          <w:spacing w:val="8"/>
        </w:rPr>
        <w:t>Gao et al (2017)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2G “</w:t>
      </w:r>
      <w:r>
        <w:rPr>
          <w:rStyle w:val="any"/>
          <w:rFonts w:ascii="PMingLiU" w:eastAsia="PMingLiU" w:hAnsi="PMingLiU" w:cs="PMingLiU"/>
          <w:spacing w:val="8"/>
        </w:rPr>
        <w:t>通过流式细胞术测量细胞凋亡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进行比较。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588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36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猩红框驼鹿肖像也出现在</w:t>
      </w:r>
      <w:r>
        <w:rPr>
          <w:rStyle w:val="any"/>
          <w:rFonts w:ascii="Times New Roman" w:eastAsia="Times New Roman" w:hAnsi="Times New Roman" w:cs="Times New Roman"/>
          <w:spacing w:val="8"/>
        </w:rPr>
        <w:t>Fan et al (2018)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Li et al (2018)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172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1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番茄红素和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UVB </w:t>
      </w:r>
      <w:r>
        <w:rPr>
          <w:rStyle w:val="any"/>
          <w:rFonts w:ascii="PMingLiU" w:eastAsia="PMingLiU" w:hAnsi="PMingLiU" w:cs="PMingLiU"/>
          <w:spacing w:val="8"/>
        </w:rPr>
        <w:t>对细胞凋亡的影响：带有门控的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HaCaT </w:t>
      </w:r>
      <w:r>
        <w:rPr>
          <w:rStyle w:val="any"/>
          <w:rFonts w:ascii="PMingLiU" w:eastAsia="PMingLiU" w:hAnsi="PMingLiU" w:cs="PMingLiU"/>
          <w:spacing w:val="8"/>
        </w:rPr>
        <w:t>细胞的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Annexin V-FITC </w:t>
      </w:r>
      <w:r>
        <w:rPr>
          <w:rStyle w:val="any"/>
          <w:rFonts w:ascii="PMingLiU" w:eastAsia="PMingLiU" w:hAnsi="PMingLiU" w:cs="PMingLiU"/>
          <w:spacing w:val="8"/>
        </w:rPr>
        <w:t>点图的代表性示例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(A)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510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37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我对这些草莓进行了颜色编码，以表明它们在其他无关作者的先前和后续论文中的表现。请参阅</w:t>
      </w:r>
      <w:r>
        <w:rPr>
          <w:rStyle w:val="any"/>
          <w:rFonts w:ascii="Times New Roman" w:eastAsia="Times New Roman" w:hAnsi="Times New Roman" w:cs="Times New Roman"/>
          <w:spacing w:val="8"/>
        </w:rPr>
        <w:t>Zhang et al (2017)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 </w:t>
      </w:r>
      <w:r>
        <w:rPr>
          <w:rStyle w:val="any"/>
          <w:rFonts w:ascii="PMingLiU" w:eastAsia="PMingLiU" w:hAnsi="PMingLiU" w:cs="PMingLiU"/>
          <w:spacing w:val="8"/>
        </w:rPr>
        <w:t>，其中有红色、蓝色、绿色和浅橙色面板，尽管此处的两个红色方框面板已看到一些点的选择性消失。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81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58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粉红色方框面板（也是红色）出现在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Li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中，以及该主题中链接的许多其他论文中。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699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75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右侧棕色框中的两个面板均为</w:t>
      </w:r>
      <w:r>
        <w:rPr>
          <w:rStyle w:val="any"/>
          <w:rFonts w:ascii="Times New Roman" w:eastAsia="Times New Roman" w:hAnsi="Times New Roman" w:cs="Times New Roman"/>
          <w:spacing w:val="8"/>
        </w:rPr>
        <w:t>Li et al (2018)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Long et al (2017)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中的面板的版本。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04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78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经番茄红素处理或未处理的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HaCaT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FOXO3a</w:t>
      </w:r>
      <w:r>
        <w:rPr>
          <w:rStyle w:val="any"/>
          <w:rFonts w:ascii="PMingLiU" w:eastAsia="PMingLiU" w:hAnsi="PMingLiU" w:cs="PMingLiU"/>
          <w:spacing w:val="8"/>
        </w:rPr>
        <w:t>（绿色）和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DAPI</w:t>
      </w:r>
      <w:r>
        <w:rPr>
          <w:rStyle w:val="any"/>
          <w:rFonts w:ascii="PMingLiU" w:eastAsia="PMingLiU" w:hAnsi="PMingLiU" w:cs="PMingLiU"/>
          <w:spacing w:val="8"/>
        </w:rPr>
        <w:t>（蓝色）的免疫荧光（放大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60 </w:t>
      </w:r>
      <w:r>
        <w:rPr>
          <w:rStyle w:val="any"/>
          <w:rFonts w:ascii="PMingLiU" w:eastAsia="PMingLiU" w:hAnsi="PMingLiU" w:cs="PMingLiU"/>
          <w:spacing w:val="8"/>
        </w:rPr>
        <w:t>倍）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7531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55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2017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日在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Wiley Online Library (wileyonlinelibrary.com) </w:t>
      </w:r>
      <w:r>
        <w:rPr>
          <w:rStyle w:val="any"/>
          <w:rFonts w:ascii="PMingLiU" w:eastAsia="PMingLiU" w:hAnsi="PMingLiU" w:cs="PMingLiU"/>
          <w:spacing w:val="8"/>
        </w:rPr>
        <w:t>在线发表，经期刊主编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Christian Behl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Wiley Periodicals LLC </w:t>
      </w:r>
      <w:r>
        <w:rPr>
          <w:rStyle w:val="any"/>
          <w:rFonts w:ascii="PMingLiU" w:eastAsia="PMingLiU" w:hAnsi="PMingLiU" w:cs="PMingLiU"/>
          <w:spacing w:val="8"/>
        </w:rPr>
        <w:t>同意，现已撤回。撤回决定是因第三方提出的担忧而达成的。我们发现图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A </w:t>
      </w:r>
      <w:r>
        <w:rPr>
          <w:rStyle w:val="any"/>
          <w:rFonts w:ascii="PMingLiU" w:eastAsia="PMingLiU" w:hAnsi="PMingLiU" w:cs="PMingLiU"/>
          <w:spacing w:val="8"/>
        </w:rPr>
        <w:t>中的多个图像元素之前和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或随后由不同的作者在不同的科学背景下发表过。此外，在图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C </w:t>
      </w:r>
      <w:r>
        <w:rPr>
          <w:rStyle w:val="any"/>
          <w:rFonts w:ascii="PMingLiU" w:eastAsia="PMingLiU" w:hAnsi="PMingLiU" w:cs="PMingLiU"/>
          <w:spacing w:val="8"/>
        </w:rPr>
        <w:t>中还发现了不当图像编辑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处理的证据。作者被邀请就这些问题发表评论，但他们并未回应。因此，文章被撤回，因为编辑们对文章中呈现的全部数据的完整性和可靠性失去了信心，并认为其结论无效。作者已被告知撤回决定。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2507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08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https://pubmed.ncbi.nlm.nih.gov/28585698/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https://pubpeer.com/publications/C4975FB7D0CC972E55B6994D04E660#0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山东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hyperlink" Target="https://mp.weixin.qq.com/mp/appmsgalbum?__biz=Mzk1NzgyODkzOQ==&amp;action=getalbum&amp;album_id=3929617605300027398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476&amp;idx=4&amp;sn=06cb587aa859b7ee578a560e20cdcce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