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临沂市中心医院传染病科某主任的论文被撤稿！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16:30:50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临沂市中心医院传染病科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  <w:lang w:val="en-US" w:eastAsia="en-US"/>
        </w:rPr>
        <w:t>The Kaohsiung Journal of Medical Sciences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月，该论文被撤稿。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Paris saponin VII enhanced the sensitivity of HepG2/ADR cells to ADR via modulation of PI3K/AKT/MAPK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Gong‐En Tang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（通讯作者，音译，唐公恩）</w:t>
      </w:r>
      <w:r>
        <w:rPr>
          <w:rStyle w:val="any"/>
          <w:color w:val="000000"/>
          <w:spacing w:val="8"/>
          <w:lang w:val="en-US" w:eastAsia="en-US"/>
        </w:rPr>
        <w:t>, Yue‐Xiang Niu , Yun Li , Chao‐Yu Wu , Xiao‐Ying Wang , Jian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临沂市中心医院传染病科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050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457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spacing w:val="8"/>
          <w:lang w:val="en-US" w:eastAsia="en-US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spacing w:val="8"/>
          <w:lang w:val="en-US" w:eastAsia="en-US"/>
        </w:rPr>
        <w:t>Annexin V-FITC/PI</w:t>
      </w:r>
      <w:r>
        <w:rPr>
          <w:rStyle w:val="any"/>
          <w:rFonts w:ascii="PMingLiU" w:eastAsia="PMingLiU" w:hAnsi="PMingLiU" w:cs="PMingLiU"/>
          <w:spacing w:val="8"/>
        </w:rPr>
        <w:t>染色检测用</w:t>
      </w:r>
      <w:r>
        <w:rPr>
          <w:rStyle w:val="any"/>
          <w:spacing w:val="8"/>
          <w:lang w:val="en-US" w:eastAsia="en-US"/>
        </w:rPr>
        <w:t>PS VII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0.88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1.32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1.98μM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spacing w:val="8"/>
          <w:lang w:val="en-US" w:eastAsia="en-US"/>
        </w:rPr>
        <w:t>ADR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5 nM</w:t>
      </w:r>
      <w:r>
        <w:rPr>
          <w:rStyle w:val="any"/>
          <w:rFonts w:ascii="PMingLiU" w:eastAsia="PMingLiU" w:hAnsi="PMingLiU" w:cs="PMingLiU"/>
          <w:spacing w:val="8"/>
        </w:rPr>
        <w:t>）处理</w:t>
      </w:r>
      <w:r>
        <w:rPr>
          <w:rStyle w:val="any"/>
          <w:spacing w:val="8"/>
          <w:lang w:val="en-US" w:eastAsia="en-US"/>
        </w:rPr>
        <w:t>48</w:t>
      </w:r>
      <w:r>
        <w:rPr>
          <w:rStyle w:val="any"/>
          <w:rFonts w:ascii="PMingLiU" w:eastAsia="PMingLiU" w:hAnsi="PMingLiU" w:cs="PMingLiU"/>
          <w:spacing w:val="8"/>
        </w:rPr>
        <w:t>小时的</w:t>
      </w:r>
      <w:r>
        <w:rPr>
          <w:rStyle w:val="any"/>
          <w:spacing w:val="8"/>
          <w:lang w:val="en-US" w:eastAsia="en-US"/>
        </w:rPr>
        <w:t>HepG2/ADR</w:t>
      </w:r>
      <w:r>
        <w:rPr>
          <w:rStyle w:val="any"/>
          <w:rFonts w:ascii="PMingLiU" w:eastAsia="PMingLiU" w:hAnsi="PMingLiU" w:cs="PMingLiU"/>
          <w:spacing w:val="8"/>
        </w:rPr>
        <w:t>细胞的细胞凋亡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4004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0689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Mitthyridium jungquilianum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  <w:r>
        <w:rPr>
          <w:rStyle w:val="any"/>
          <w:b/>
          <w:bCs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5050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005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日在威利在线图书馆（</w:t>
      </w:r>
      <w:r>
        <w:rPr>
          <w:rStyle w:val="any"/>
          <w:spacing w:val="8"/>
          <w:lang w:val="en-US" w:eastAsia="en-US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）在线发表，经本刊总编辑庄万龙；高雄医科大学；以及澳大利亚约翰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威利父子公司同意已被撤回。由于图</w:t>
      </w:r>
      <w:r>
        <w:rPr>
          <w:rStyle w:val="any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中的元素，这些元素在早些时候在其他地方发表的其他文章中被发现重复，在某些情况下代表了不同的科学背景。提交人没有对提出的关切作出回应。编辑们对所提供的数据失去了信心，认为结论受到了实质性的损害。作者被告知撤回，但无法发表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https://pubpeer.com/publications/A72CF2F90D79EF7A7965D41B3203A4#0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014&amp;idx=1&amp;sn=b3511452aa2342be32fc8088e31428e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