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东北大学生命科学与健康学院的《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22:39:59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东北大学生命科学与健康学院在期刊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The role of cyclooxygenase-2, interleukin-1β and fibroblast growth factor-2 in the activation of matrix metalloproteinase-1 in sheared-chondrocytes and articular cartilage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Pei-Pei Guan, Jing-Wen Guo, Xin Yu, Yue Wang, Tao Wang, Konstantinos Konstantopoulos, Zhan-You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（通讯作者，音译，王占友）</w:t>
      </w:r>
      <w:r>
        <w:rPr>
          <w:rStyle w:val="any"/>
          <w:color w:val="000000"/>
          <w:spacing w:val="8"/>
          <w:lang w:val="en-US" w:eastAsia="en-US"/>
        </w:rPr>
        <w:t>, Pu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东北大学生命科学与健康学院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基金资助：中国国家自然科学基金（</w:t>
      </w:r>
      <w:r>
        <w:rPr>
          <w:rStyle w:val="any"/>
          <w:b/>
          <w:bCs/>
          <w:spacing w:val="8"/>
          <w:lang w:val="en-US" w:eastAsia="en-US"/>
        </w:rPr>
        <w:t>31300777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b/>
          <w:bCs/>
          <w:spacing w:val="8"/>
          <w:lang w:val="en-US" w:eastAsia="en-US"/>
        </w:rPr>
        <w:t>31371091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b/>
          <w:bCs/>
          <w:spacing w:val="8"/>
          <w:lang w:val="en-US" w:eastAsia="en-US"/>
        </w:rPr>
        <w:t>81200972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43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03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Pycnarmon cribrata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另一篇论文（</w:t>
      </w:r>
      <w:r>
        <w:rPr>
          <w:rStyle w:val="any"/>
          <w:b/>
          <w:bCs/>
          <w:spacing w:val="8"/>
          <w:lang w:val="en-US" w:eastAsia="en-US"/>
        </w:rPr>
        <w:t>PMID: 24621265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）中，图</w:t>
      </w:r>
      <w:r>
        <w:rPr>
          <w:rStyle w:val="any"/>
          <w:b/>
          <w:bCs/>
          <w:spacing w:val="8"/>
          <w:lang w:val="en-US" w:eastAsia="en-US"/>
        </w:rPr>
        <w:t>3g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和图</w:t>
      </w:r>
      <w:r>
        <w:rPr>
          <w:rStyle w:val="any"/>
          <w:b/>
          <w:bCs/>
          <w:spacing w:val="8"/>
          <w:lang w:val="en-US" w:eastAsia="en-US"/>
        </w:rPr>
        <w:t>3A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似乎有相同的条带。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457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466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Desmococcus antarctica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编辑们撤回了这篇文章。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发布后，人们提出了一些图像完整性问题。图</w:t>
      </w:r>
      <w:r>
        <w:rPr>
          <w:rStyle w:val="any"/>
          <w:spacing w:val="8"/>
          <w:lang w:val="en-US" w:eastAsia="en-US"/>
        </w:rPr>
        <w:t>3G</w:t>
      </w:r>
      <w:r>
        <w:rPr>
          <w:rStyle w:val="any"/>
          <w:rFonts w:ascii="PMingLiU" w:eastAsia="PMingLiU" w:hAnsi="PMingLiU" w:cs="PMingLiU"/>
          <w:spacing w:val="8"/>
        </w:rPr>
        <w:t>似乎与同一作者早期论文的图</w:t>
      </w:r>
      <w:r>
        <w:rPr>
          <w:rStyle w:val="any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重叠，描述了不同的条件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。在图</w:t>
      </w:r>
      <w:r>
        <w:rPr>
          <w:rStyle w:val="any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spacing w:val="8"/>
          <w:lang w:val="en-US" w:eastAsia="en-US"/>
        </w:rPr>
        <w:t>p-38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β-actin</w:t>
      </w:r>
      <w:r>
        <w:rPr>
          <w:rStyle w:val="any"/>
          <w:rFonts w:ascii="PMingLiU" w:eastAsia="PMingLiU" w:hAnsi="PMingLiU" w:cs="PMingLiU"/>
          <w:spacing w:val="8"/>
        </w:rPr>
        <w:t>印迹似乎部分重叠。图</w:t>
      </w:r>
      <w:r>
        <w:rPr>
          <w:rStyle w:val="any"/>
          <w:spacing w:val="8"/>
          <w:lang w:val="en-US" w:eastAsia="en-US"/>
        </w:rPr>
        <w:t>2C IL-1β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5A 15d-PGJ2</w:t>
      </w:r>
      <w:r>
        <w:rPr>
          <w:rStyle w:val="any"/>
          <w:rFonts w:ascii="PMingLiU" w:eastAsia="PMingLiU" w:hAnsi="PMingLiU" w:cs="PMingLiU"/>
          <w:spacing w:val="8"/>
        </w:rPr>
        <w:t>，以及图</w:t>
      </w:r>
      <w:r>
        <w:rPr>
          <w:rStyle w:val="any"/>
          <w:spacing w:val="8"/>
          <w:lang w:val="en-US" w:eastAsia="en-US"/>
        </w:rPr>
        <w:t>6E WT</w:t>
      </w:r>
      <w:r>
        <w:rPr>
          <w:rStyle w:val="any"/>
          <w:rFonts w:ascii="PMingLiU" w:eastAsia="PMingLiU" w:hAnsi="PMingLiU" w:cs="PMingLiU"/>
          <w:spacing w:val="8"/>
        </w:rPr>
        <w:t>似乎与旋转部分重叠。编辑们对本文的数据和结论失去了信心。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spacing w:val="8"/>
          <w:lang w:val="en-US" w:eastAsia="en-US"/>
        </w:rPr>
        <w:t>Konstantinos Konstantopoulos</w:t>
      </w:r>
      <w:r>
        <w:rPr>
          <w:rStyle w:val="any"/>
          <w:rFonts w:ascii="PMingLiU" w:eastAsia="PMingLiU" w:hAnsi="PMingLiU" w:cs="PMingLiU"/>
          <w:spacing w:val="8"/>
        </w:rPr>
        <w:t>同意这一撤回。作者</w:t>
      </w:r>
      <w:r>
        <w:rPr>
          <w:rStyle w:val="any"/>
          <w:spacing w:val="8"/>
          <w:lang w:val="en-US" w:eastAsia="en-US"/>
        </w:rPr>
        <w:t>Wang Pu</w:t>
      </w:r>
      <w:r>
        <w:rPr>
          <w:rStyle w:val="any"/>
          <w:rFonts w:ascii="PMingLiU" w:eastAsia="PMingLiU" w:hAnsi="PMingLiU" w:cs="PMingLiU"/>
          <w:spacing w:val="8"/>
        </w:rPr>
        <w:t>没有明确表示他们是否同意或不同意这一撤回。所有其他作者都没有回应出版商关于此次撤回的信件。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https://pubpeer.com/publications/D4925935F93203B6B4CCF01AE4A0D6#0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986&amp;idx=1&amp;sn=54db9739944248da5b6fe3440ff61e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