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广西医科大学第一附属医院院长陈俊强论文多处存疑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May;13(5):13970-13985.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10.1080/21655979.2022.2084235.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中的两个图像似乎重叠，但它们的描述不同。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14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40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感谢您的回复和提供替换图像。作者能否为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Fogure 1f</w:t>
      </w:r>
      <w:r>
        <w:rPr>
          <w:rStyle w:val="any"/>
          <w:rFonts w:ascii="PMingLiU" w:eastAsia="PMingLiU" w:hAnsi="PMingLiU" w:cs="PMingLiU"/>
          <w:spacing w:val="8"/>
        </w:rPr>
        <w:t>中显示的图像提供原始的未裁剪扫描。公布的图片似乎风格奇特，背景模糊，缺乏细节。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81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https://pubmed.ncbi.nlm.nih.gov/35723050/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1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俊强，广西医科大学第一附属医院，胃肠腺体外科，主任医师，广西医科大学第一附属医院院长，教授，胃肠腺体外科专家，医学博士，博士硕士研究生导师。擅长胃癌、乳腺癌、甲状腺疾病、门静脉高压，胰腺疾病等疾病的诊疗。长期从事临床营养、消化系肿瘤侵袭和转移机制、胃癌的规范诊治、加速康复外科、甲状腺癌等方面的临床与基础研究工作。主持研究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项。获广西科技进步二等奖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项。主编、副主编专著各一部，参编专著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4&amp;sn=d648ca4d19e1b53f2aaf96c7d29d5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